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4F" w:rsidRPr="00E71558" w:rsidRDefault="00B15D30" w:rsidP="00173BB9">
      <w:pPr>
        <w:spacing w:line="240" w:lineRule="auto"/>
        <w:jc w:val="center"/>
        <w:rPr>
          <w:b/>
        </w:rPr>
      </w:pPr>
      <w:bookmarkStart w:id="0" w:name="_Toc89075651"/>
      <w:r w:rsidRPr="00E71558">
        <w:rPr>
          <w:b/>
          <w:lang w:eastAsia="pt-BR"/>
        </w:rPr>
        <w:t>CONTRIBUIÇÕES DA ESPECTROMORFOLOGIA</w:t>
      </w:r>
      <w:r w:rsidRPr="00E71558">
        <w:rPr>
          <w:b/>
        </w:rPr>
        <w:t xml:space="preserve"> PARA A ANÁLISE DA ORQUESTRAÇÃO</w:t>
      </w:r>
    </w:p>
    <w:p w:rsidR="0004613D" w:rsidRPr="00B15D30" w:rsidRDefault="0004613D" w:rsidP="00E71558"/>
    <w:p w:rsidR="002455FE" w:rsidRPr="0004613D" w:rsidRDefault="0004613D" w:rsidP="00E71558">
      <w:pPr>
        <w:jc w:val="left"/>
      </w:pPr>
      <w:r w:rsidRPr="00E71558">
        <w:rPr>
          <w:b/>
        </w:rPr>
        <w:t>Eixo Temático:</w:t>
      </w:r>
      <w:r w:rsidRPr="0004613D">
        <w:t xml:space="preserve"> </w:t>
      </w:r>
      <w:r>
        <w:t>Os impactos da tecnologia na teoria e análise musical</w:t>
      </w:r>
    </w:p>
    <w:p w:rsidR="002455FE" w:rsidRPr="0004613D" w:rsidRDefault="002455FE" w:rsidP="00E71558"/>
    <w:p w:rsidR="00620D1D" w:rsidRPr="00B7521A" w:rsidRDefault="00620D1D" w:rsidP="00E71558">
      <w:pPr>
        <w:rPr>
          <w:lang w:eastAsia="pt-BR"/>
        </w:rPr>
      </w:pPr>
      <w:r>
        <w:rPr>
          <w:lang w:eastAsia="pt-BR"/>
        </w:rPr>
        <w:tab/>
      </w:r>
      <w:r w:rsidRPr="00B7521A">
        <w:rPr>
          <w:lang w:eastAsia="pt-BR"/>
        </w:rPr>
        <w:t xml:space="preserve">Desde o início do século XX, houve um grande aumento de interesse, tanto de compositores quanto do público, sobre o parâmetro sonoro do timbre. As orquestras ampliaram </w:t>
      </w:r>
      <w:bookmarkStart w:id="1" w:name="_GoBack"/>
      <w:bookmarkEnd w:id="1"/>
      <w:r w:rsidRPr="00B7521A">
        <w:rPr>
          <w:lang w:eastAsia="pt-BR"/>
        </w:rPr>
        <w:t>sua formação, novas técnicas instrumentais experimentais e sonoridades eletrônicas foram desenvolvidas. No entanto, pouca atenção tem sido dada desde então à análise da orquestração. Este estudo pretende contribuir para preencher esta lacuna.</w:t>
      </w:r>
    </w:p>
    <w:p w:rsidR="00620D1D" w:rsidRPr="00B7521A" w:rsidRDefault="00620D1D" w:rsidP="00E71558">
      <w:pPr>
        <w:rPr>
          <w:lang w:eastAsia="pt-BR"/>
        </w:rPr>
      </w:pPr>
      <w:r>
        <w:rPr>
          <w:lang w:eastAsia="pt-BR"/>
        </w:rPr>
        <w:tab/>
      </w:r>
      <w:r w:rsidRPr="00B7521A">
        <w:rPr>
          <w:lang w:eastAsia="pt-BR"/>
        </w:rPr>
        <w:t xml:space="preserve">Um aspecto que dificultou os avanços na análise da orquestração é a variação no tempo da maioria dos timbres instrumentais, sem contar a complexa evolução temporal da mistura de timbres em cada orquestração. Um exemplo simples de </w:t>
      </w:r>
      <w:r w:rsidR="001A21AC">
        <w:rPr>
          <w:lang w:eastAsia="pt-BR"/>
        </w:rPr>
        <w:t>avanço</w:t>
      </w:r>
      <w:r w:rsidRPr="00B7521A">
        <w:rPr>
          <w:lang w:eastAsia="pt-BR"/>
        </w:rPr>
        <w:t xml:space="preserve"> nesse quesito foi </w:t>
      </w:r>
      <w:r>
        <w:rPr>
          <w:lang w:eastAsia="pt-BR"/>
        </w:rPr>
        <w:t>o delineamento</w:t>
      </w:r>
      <w:r w:rsidRPr="00B7521A">
        <w:rPr>
          <w:lang w:eastAsia="pt-BR"/>
        </w:rPr>
        <w:t xml:space="preserve"> do envel</w:t>
      </w:r>
      <w:r w:rsidR="0008112B">
        <w:rPr>
          <w:lang w:eastAsia="pt-BR"/>
        </w:rPr>
        <w:t>ope dinâmico clássico ADSR (</w:t>
      </w:r>
      <w:proofErr w:type="spellStart"/>
      <w:r w:rsidR="0008112B" w:rsidRPr="0008112B">
        <w:rPr>
          <w:i/>
          <w:lang w:eastAsia="pt-BR"/>
        </w:rPr>
        <w:t>attack</w:t>
      </w:r>
      <w:proofErr w:type="spellEnd"/>
      <w:r w:rsidRPr="0008112B">
        <w:rPr>
          <w:i/>
          <w:lang w:eastAsia="pt-BR"/>
        </w:rPr>
        <w:t xml:space="preserve">, </w:t>
      </w:r>
      <w:proofErr w:type="spellStart"/>
      <w:r w:rsidRPr="0008112B">
        <w:rPr>
          <w:i/>
          <w:lang w:eastAsia="pt-BR"/>
        </w:rPr>
        <w:t>deca</w:t>
      </w:r>
      <w:r w:rsidR="0008112B" w:rsidRPr="0008112B">
        <w:rPr>
          <w:i/>
          <w:lang w:eastAsia="pt-BR"/>
        </w:rPr>
        <w:t>y</w:t>
      </w:r>
      <w:proofErr w:type="spellEnd"/>
      <w:r w:rsidRPr="0008112B">
        <w:rPr>
          <w:i/>
          <w:lang w:eastAsia="pt-BR"/>
        </w:rPr>
        <w:t xml:space="preserve">, </w:t>
      </w:r>
      <w:proofErr w:type="spellStart"/>
      <w:r w:rsidRPr="0008112B">
        <w:rPr>
          <w:i/>
          <w:lang w:eastAsia="pt-BR"/>
        </w:rPr>
        <w:t>sust</w:t>
      </w:r>
      <w:r w:rsidR="0008112B" w:rsidRPr="0008112B">
        <w:rPr>
          <w:i/>
          <w:lang w:eastAsia="pt-BR"/>
        </w:rPr>
        <w:t>ain</w:t>
      </w:r>
      <w:proofErr w:type="spellEnd"/>
      <w:r w:rsidRPr="0008112B">
        <w:rPr>
          <w:i/>
          <w:lang w:eastAsia="pt-BR"/>
        </w:rPr>
        <w:t xml:space="preserve">, </w:t>
      </w:r>
      <w:r w:rsidR="0008112B" w:rsidRPr="0008112B">
        <w:rPr>
          <w:i/>
          <w:lang w:eastAsia="pt-BR"/>
        </w:rPr>
        <w:t>release</w:t>
      </w:r>
      <w:r w:rsidRPr="00B7521A">
        <w:rPr>
          <w:lang w:eastAsia="pt-BR"/>
        </w:rPr>
        <w:t>) para atender a estrutura sonora elementar da dinâmica, utilizada pelos teclados eletrônicos para emular ou gerar novos timbres. De fato, a evolução temporal do timbre é difícil de entender. Só recentemente a informática forneceu algumas ferramentas para lidar com isso, tornando a análise do timbre um empreendimento interdisciplinar, permitindo-nos ir além das limitações da percepção humana.</w:t>
      </w:r>
    </w:p>
    <w:p w:rsidR="006529AF" w:rsidRPr="00B7521A" w:rsidRDefault="00620D1D" w:rsidP="006529AF">
      <w:pPr>
        <w:rPr>
          <w:lang w:eastAsia="pt-BR"/>
        </w:rPr>
      </w:pPr>
      <w:r>
        <w:rPr>
          <w:lang w:eastAsia="pt-BR"/>
        </w:rPr>
        <w:tab/>
      </w:r>
      <w:r w:rsidRPr="00B7521A">
        <w:rPr>
          <w:lang w:eastAsia="pt-BR"/>
        </w:rPr>
        <w:t xml:space="preserve">Nossa hipótese é que a orquestração, além de sua reconhecida função </w:t>
      </w:r>
      <w:proofErr w:type="spellStart"/>
      <w:r w:rsidRPr="00B7521A">
        <w:rPr>
          <w:lang w:eastAsia="pt-BR"/>
        </w:rPr>
        <w:t>colorística</w:t>
      </w:r>
      <w:proofErr w:type="spellEnd"/>
      <w:r w:rsidRPr="00B7521A">
        <w:rPr>
          <w:lang w:eastAsia="pt-BR"/>
        </w:rPr>
        <w:t xml:space="preserve">, pode contribuir para a definição de uma forma musical. Alguns </w:t>
      </w:r>
      <w:r w:rsidR="00E71558">
        <w:rPr>
          <w:lang w:eastAsia="pt-BR"/>
        </w:rPr>
        <w:t xml:space="preserve">pesquisadores como </w:t>
      </w:r>
      <w:proofErr w:type="spellStart"/>
      <w:r w:rsidR="00E71558">
        <w:rPr>
          <w:lang w:eastAsia="pt-BR"/>
        </w:rPr>
        <w:t>Beaver</w:t>
      </w:r>
      <w:r w:rsidR="0008112B">
        <w:rPr>
          <w:lang w:eastAsia="pt-BR"/>
        </w:rPr>
        <w:t>s</w:t>
      </w:r>
      <w:proofErr w:type="spellEnd"/>
      <w:r w:rsidR="00E71558">
        <w:rPr>
          <w:lang w:eastAsia="pt-BR"/>
        </w:rPr>
        <w:t xml:space="preserve"> (2019), </w:t>
      </w:r>
      <w:proofErr w:type="spellStart"/>
      <w:r w:rsidR="00E71558">
        <w:rPr>
          <w:lang w:eastAsia="pt-BR"/>
        </w:rPr>
        <w:t>Dolan</w:t>
      </w:r>
      <w:proofErr w:type="spellEnd"/>
      <w:r w:rsidR="00E71558">
        <w:rPr>
          <w:lang w:eastAsia="pt-BR"/>
        </w:rPr>
        <w:t xml:space="preserve"> (2013), Love (2001</w:t>
      </w:r>
      <w:r w:rsidRPr="00B7521A">
        <w:rPr>
          <w:lang w:eastAsia="pt-BR"/>
        </w:rPr>
        <w:t xml:space="preserve">) e Stock (1997) fizeram afirmações semelhantes, porém nossa abordagem </w:t>
      </w:r>
      <w:r w:rsidR="0008112B">
        <w:rPr>
          <w:lang w:eastAsia="pt-BR"/>
        </w:rPr>
        <w:t>se diferencia destes</w:t>
      </w:r>
      <w:r w:rsidRPr="00B7521A">
        <w:rPr>
          <w:lang w:eastAsia="pt-BR"/>
        </w:rPr>
        <w:t>, pois utiliza espectrogramas como ferramenta auxiliar.</w:t>
      </w:r>
      <w:r w:rsidR="001A21AC">
        <w:rPr>
          <w:lang w:eastAsia="pt-BR"/>
        </w:rPr>
        <w:t xml:space="preserve"> </w:t>
      </w:r>
      <w:r w:rsidR="001A21AC">
        <w:t>Esse recurso tecnológico pode ser usado na verificação de c</w:t>
      </w:r>
      <w:r w:rsidR="001A21AC" w:rsidRPr="00B67D99">
        <w:t>omo</w:t>
      </w:r>
      <w:r w:rsidR="001A21AC">
        <w:t xml:space="preserve"> a orquestração ou</w:t>
      </w:r>
      <w:r w:rsidR="001A21AC" w:rsidRPr="00B67D99">
        <w:t xml:space="preserve"> </w:t>
      </w:r>
      <w:r w:rsidR="001A21AC">
        <w:t>um</w:t>
      </w:r>
      <w:r w:rsidR="001A21AC" w:rsidRPr="00B67D99">
        <w:t xml:space="preserve"> timbre </w:t>
      </w:r>
      <w:r w:rsidR="001A21AC">
        <w:t>iluminam</w:t>
      </w:r>
      <w:r w:rsidR="001A21AC" w:rsidRPr="00B67D99">
        <w:t xml:space="preserve"> aspectos </w:t>
      </w:r>
      <w:r w:rsidR="001A21AC">
        <w:t xml:space="preserve">estruturais ou </w:t>
      </w:r>
      <w:proofErr w:type="spellStart"/>
      <w:r w:rsidR="001A21AC" w:rsidRPr="00B67D99">
        <w:t>mot</w:t>
      </w:r>
      <w:r w:rsidR="001A21AC">
        <w:t>ívicos</w:t>
      </w:r>
      <w:proofErr w:type="spellEnd"/>
      <w:r w:rsidR="001A21AC">
        <w:t>, bem como na explicação da escolha da instrumentação ou de quaisquer outros recursos sonoros utilizados pelo compositor que ainda não foram evidenciados por outros métodos.</w:t>
      </w:r>
      <w:r w:rsidR="006529AF">
        <w:t xml:space="preserve"> </w:t>
      </w:r>
      <w:r w:rsidR="006529AF" w:rsidRPr="00B7521A">
        <w:rPr>
          <w:lang w:eastAsia="pt-BR"/>
        </w:rPr>
        <w:t>De acordo com Smalley (1997</w:t>
      </w:r>
      <w:r w:rsidR="006529AF">
        <w:rPr>
          <w:lang w:eastAsia="pt-BR"/>
        </w:rPr>
        <w:t>, p. 107</w:t>
      </w:r>
      <w:r w:rsidR="006529AF" w:rsidRPr="00B7521A">
        <w:rPr>
          <w:lang w:eastAsia="pt-BR"/>
        </w:rPr>
        <w:t xml:space="preserve">), “uma abordagem </w:t>
      </w:r>
      <w:proofErr w:type="spellStart"/>
      <w:r w:rsidR="006529AF" w:rsidRPr="00B7521A">
        <w:rPr>
          <w:lang w:eastAsia="pt-BR"/>
        </w:rPr>
        <w:t>espectromorfológica</w:t>
      </w:r>
      <w:proofErr w:type="spellEnd"/>
      <w:r w:rsidR="006529AF" w:rsidRPr="00B7521A">
        <w:rPr>
          <w:lang w:eastAsia="pt-BR"/>
        </w:rPr>
        <w:t xml:space="preserve"> estabelece modelos e processos espectrais e morfológicos e fornece uma estrutura para a compreensão de relações estruturais e comportamentos experimentados no fluxo temporal da música”.</w:t>
      </w:r>
    </w:p>
    <w:p w:rsidR="001A21AC" w:rsidRDefault="006529AF" w:rsidP="001A21AC">
      <w:pPr>
        <w:pStyle w:val="Texto"/>
      </w:pPr>
      <w:r w:rsidRPr="000B55C4">
        <w:t>No Brasil, apontamos a dissertação de Holmes (2009) como um dos precedentes a abordar a música instrumental sob o olhar da espectromorfologia.</w:t>
      </w:r>
      <w:r>
        <w:t xml:space="preserve"> Sua abordagem é fundamentada teórica e principalmente em estudos de Pierre </w:t>
      </w:r>
      <w:proofErr w:type="spellStart"/>
      <w:r>
        <w:t>Schaeffer</w:t>
      </w:r>
      <w:proofErr w:type="spellEnd"/>
      <w:r>
        <w:t xml:space="preserve">, Didier </w:t>
      </w:r>
      <w:proofErr w:type="spellStart"/>
      <w:r>
        <w:t>Guigue</w:t>
      </w:r>
      <w:proofErr w:type="spellEnd"/>
      <w:r>
        <w:t xml:space="preserve"> e Lasse </w:t>
      </w:r>
      <w:proofErr w:type="spellStart"/>
      <w:r>
        <w:t>Thoresen</w:t>
      </w:r>
      <w:proofErr w:type="spellEnd"/>
      <w:r>
        <w:t xml:space="preserve">. Seu método consiste praticamente em levantar aspectos da orquestração, observar o </w:t>
      </w:r>
      <w:r>
        <w:lastRenderedPageBreak/>
        <w:t xml:space="preserve">espectrograma das interpretações disponíveis e elaborar uma representação dos objetos sonoros por meio da ferramenta gráfica </w:t>
      </w:r>
      <w:proofErr w:type="spellStart"/>
      <w:r w:rsidRPr="006529AF">
        <w:rPr>
          <w:i/>
        </w:rPr>
        <w:t>Sonova</w:t>
      </w:r>
      <w:proofErr w:type="spellEnd"/>
      <w:r>
        <w:t>. Embora amplie o uso dos recursos tecnológicos para auxiliar no estudo da orquestração, seu foco está explicitamente ligado ao repertório cuja estética relaciona-se em menor ou maior grau com as músicas eletroacústicas.</w:t>
      </w:r>
    </w:p>
    <w:p w:rsidR="002455FE" w:rsidRPr="00620D1D" w:rsidRDefault="00620D1D" w:rsidP="00E71558">
      <w:r>
        <w:rPr>
          <w:lang w:eastAsia="pt-BR"/>
        </w:rPr>
        <w:tab/>
      </w:r>
      <w:r w:rsidR="006529AF">
        <w:rPr>
          <w:lang w:eastAsia="pt-BR"/>
        </w:rPr>
        <w:t>Em nosso estudo, a</w:t>
      </w:r>
      <w:r w:rsidRPr="00B7521A">
        <w:rPr>
          <w:lang w:eastAsia="pt-BR"/>
        </w:rPr>
        <w:t>presentamos três exemplos de</w:t>
      </w:r>
      <w:r>
        <w:rPr>
          <w:lang w:eastAsia="pt-BR"/>
        </w:rPr>
        <w:t xml:space="preserve"> como </w:t>
      </w:r>
      <w:r w:rsidR="006529AF">
        <w:rPr>
          <w:lang w:eastAsia="pt-BR"/>
        </w:rPr>
        <w:t>a espectromorfologia pode contribuir com a análise da orquestração</w:t>
      </w:r>
      <w:r>
        <w:rPr>
          <w:lang w:eastAsia="pt-BR"/>
        </w:rPr>
        <w:t xml:space="preserve">: </w:t>
      </w:r>
      <w:r w:rsidR="0008112B" w:rsidRPr="00B459A8">
        <w:rPr>
          <w:i/>
          <w:lang w:eastAsia="pt-BR"/>
        </w:rPr>
        <w:t>Sinfonia n.º 100</w:t>
      </w:r>
      <w:r w:rsidR="0008112B">
        <w:rPr>
          <w:lang w:eastAsia="pt-BR"/>
        </w:rPr>
        <w:t xml:space="preserve"> de Joseph Haydn, </w:t>
      </w:r>
      <w:r w:rsidRPr="00B459A8">
        <w:rPr>
          <w:i/>
          <w:lang w:eastAsia="pt-BR"/>
        </w:rPr>
        <w:t xml:space="preserve">Variationen </w:t>
      </w:r>
      <w:proofErr w:type="spellStart"/>
      <w:r w:rsidRPr="00B459A8">
        <w:rPr>
          <w:i/>
          <w:lang w:eastAsia="pt-BR"/>
        </w:rPr>
        <w:t>für</w:t>
      </w:r>
      <w:proofErr w:type="spellEnd"/>
      <w:r w:rsidRPr="00B459A8">
        <w:rPr>
          <w:i/>
          <w:lang w:eastAsia="pt-BR"/>
        </w:rPr>
        <w:t xml:space="preserve"> </w:t>
      </w:r>
      <w:proofErr w:type="spellStart"/>
      <w:r w:rsidRPr="00B459A8">
        <w:rPr>
          <w:i/>
          <w:lang w:eastAsia="pt-BR"/>
        </w:rPr>
        <w:t>Orchester</w:t>
      </w:r>
      <w:proofErr w:type="spellEnd"/>
      <w:r w:rsidRPr="00B459A8">
        <w:rPr>
          <w:i/>
          <w:lang w:eastAsia="pt-BR"/>
        </w:rPr>
        <w:t>, op. 30</w:t>
      </w:r>
      <w:r w:rsidR="00E71558">
        <w:rPr>
          <w:lang w:eastAsia="pt-BR"/>
        </w:rPr>
        <w:t xml:space="preserve">, de </w:t>
      </w:r>
      <w:r w:rsidR="0008112B">
        <w:rPr>
          <w:lang w:eastAsia="pt-BR"/>
        </w:rPr>
        <w:t xml:space="preserve">Anton </w:t>
      </w:r>
      <w:proofErr w:type="spellStart"/>
      <w:r w:rsidR="00E71558">
        <w:rPr>
          <w:lang w:eastAsia="pt-BR"/>
        </w:rPr>
        <w:t>Webern</w:t>
      </w:r>
      <w:proofErr w:type="spellEnd"/>
      <w:r w:rsidR="00E71558">
        <w:rPr>
          <w:lang w:eastAsia="pt-BR"/>
        </w:rPr>
        <w:t>,</w:t>
      </w:r>
      <w:r>
        <w:rPr>
          <w:lang w:eastAsia="pt-BR"/>
        </w:rPr>
        <w:t xml:space="preserve"> e </w:t>
      </w:r>
      <w:r w:rsidRPr="00E71558">
        <w:rPr>
          <w:i/>
          <w:lang w:eastAsia="pt-BR"/>
        </w:rPr>
        <w:t xml:space="preserve">Sinfonia </w:t>
      </w:r>
      <w:r w:rsidR="00E71558" w:rsidRPr="00E71558">
        <w:rPr>
          <w:i/>
          <w:lang w:eastAsia="pt-BR"/>
        </w:rPr>
        <w:t>n.º 11</w:t>
      </w:r>
      <w:r w:rsidR="00E71558">
        <w:rPr>
          <w:lang w:eastAsia="pt-BR"/>
        </w:rPr>
        <w:t xml:space="preserve"> de Cláudio Santoro</w:t>
      </w:r>
      <w:r>
        <w:rPr>
          <w:lang w:eastAsia="pt-BR"/>
        </w:rPr>
        <w:t>.</w:t>
      </w:r>
    </w:p>
    <w:p w:rsidR="00620D1D" w:rsidRPr="0008112B" w:rsidRDefault="00581706" w:rsidP="00E71558">
      <w:pPr>
        <w:rPr>
          <w:vertAlign w:val="superscript"/>
        </w:rPr>
      </w:pPr>
      <w:r w:rsidRPr="00620D1D">
        <w:tab/>
      </w:r>
      <w:r w:rsidR="00620D1D">
        <w:t xml:space="preserve">No início da </w:t>
      </w:r>
      <w:r w:rsidR="00620D1D" w:rsidRPr="0009699C">
        <w:rPr>
          <w:i/>
        </w:rPr>
        <w:t>Sinfon</w:t>
      </w:r>
      <w:r w:rsidR="00620D1D">
        <w:rPr>
          <w:i/>
        </w:rPr>
        <w:t>ia n.º100</w:t>
      </w:r>
      <w:r w:rsidR="00620D1D">
        <w:t>, especificamente no seg</w:t>
      </w:r>
      <w:r w:rsidR="0008112B">
        <w:t xml:space="preserve">undo compasso, Haydn acrescenta </w:t>
      </w:r>
      <w:r w:rsidR="00620D1D">
        <w:t>um fagote à instrumentação inicialmente composta apenas pelas cordas (Exemplo 1). As notas enfatizadas, por meio da duplicação entre esse instrumento e as violas, são a 7.ª do acorde de dominante, e, em seguida, a 3.ª do acorde de tônica. O espectrograma do trecho analisado mostra uma faixa de frequência mais evidenciada que as demais, que corresponde, justamente, às notas musicais Dó</w:t>
      </w:r>
      <w:r w:rsidR="0008112B" w:rsidRPr="0008112B">
        <w:rPr>
          <w:vertAlign w:val="superscript"/>
        </w:rPr>
        <w:t>(</w:t>
      </w:r>
      <w:r w:rsidR="00620D1D">
        <w:rPr>
          <w:vertAlign w:val="superscript"/>
        </w:rPr>
        <w:t>4</w:t>
      </w:r>
      <w:r w:rsidR="0008112B">
        <w:rPr>
          <w:vertAlign w:val="superscript"/>
        </w:rPr>
        <w:t>)</w:t>
      </w:r>
      <w:r w:rsidR="00620D1D">
        <w:t xml:space="preserve"> e Si</w:t>
      </w:r>
      <w:r w:rsidR="0008112B" w:rsidRPr="0008112B">
        <w:rPr>
          <w:vertAlign w:val="superscript"/>
        </w:rPr>
        <w:t>(</w:t>
      </w:r>
      <w:r w:rsidR="00620D1D">
        <w:rPr>
          <w:vertAlign w:val="superscript"/>
        </w:rPr>
        <w:t>3</w:t>
      </w:r>
      <w:r w:rsidR="0008112B">
        <w:rPr>
          <w:vertAlign w:val="superscript"/>
        </w:rPr>
        <w:t>)</w:t>
      </w:r>
      <w:r w:rsidR="00620D1D">
        <w:t xml:space="preserve">. </w:t>
      </w:r>
      <w:r w:rsidR="0008112B">
        <w:t>Além disso, u</w:t>
      </w:r>
      <w:r w:rsidR="00620D1D">
        <w:rPr>
          <w:lang w:eastAsia="pt-BR"/>
        </w:rPr>
        <w:t>m recorte demonstrando as frequências do acorde de dominante comprovam a proeminência do harmônico Dó</w:t>
      </w:r>
      <w:r w:rsidR="0008112B" w:rsidRPr="0008112B">
        <w:rPr>
          <w:vertAlign w:val="superscript"/>
          <w:lang w:eastAsia="pt-BR"/>
        </w:rPr>
        <w:t>(</w:t>
      </w:r>
      <w:r w:rsidR="00620D1D">
        <w:rPr>
          <w:vertAlign w:val="superscript"/>
          <w:lang w:eastAsia="pt-BR"/>
        </w:rPr>
        <w:t>5</w:t>
      </w:r>
      <w:r w:rsidR="0008112B">
        <w:rPr>
          <w:vertAlign w:val="superscript"/>
          <w:lang w:eastAsia="pt-BR"/>
        </w:rPr>
        <w:t>)</w:t>
      </w:r>
      <w:r w:rsidR="00620D1D">
        <w:rPr>
          <w:lang w:eastAsia="pt-BR"/>
        </w:rPr>
        <w:t xml:space="preserve"> no espectro sonoro. </w:t>
      </w:r>
      <w:r w:rsidR="00620D1D">
        <w:t xml:space="preserve"> </w:t>
      </w:r>
      <w:r w:rsidR="00620D1D">
        <w:rPr>
          <w:lang w:eastAsia="pt-BR"/>
        </w:rPr>
        <w:t>Ess</w:t>
      </w:r>
      <w:r w:rsidR="00620D1D" w:rsidRPr="00B7521A">
        <w:rPr>
          <w:lang w:eastAsia="pt-BR"/>
        </w:rPr>
        <w:t xml:space="preserve">a ênfase na resolução da 7ª na 3ª prevê um elemento </w:t>
      </w:r>
      <w:proofErr w:type="spellStart"/>
      <w:r w:rsidR="00620D1D" w:rsidRPr="00B7521A">
        <w:rPr>
          <w:lang w:eastAsia="pt-BR"/>
        </w:rPr>
        <w:t>motívico</w:t>
      </w:r>
      <w:proofErr w:type="spellEnd"/>
      <w:r w:rsidR="00620D1D" w:rsidRPr="00B7521A">
        <w:rPr>
          <w:lang w:eastAsia="pt-BR"/>
        </w:rPr>
        <w:t xml:space="preserve"> que será destacado ao longo da peça.</w:t>
      </w:r>
      <w:r w:rsidR="00620D1D">
        <w:rPr>
          <w:lang w:eastAsia="pt-BR"/>
        </w:rPr>
        <w:t xml:space="preserve"> No Exemplo </w:t>
      </w:r>
      <w:r w:rsidR="00A12FE5">
        <w:rPr>
          <w:lang w:eastAsia="pt-BR"/>
        </w:rPr>
        <w:t>2</w:t>
      </w:r>
      <w:r w:rsidR="0008112B">
        <w:rPr>
          <w:lang w:eastAsia="pt-BR"/>
        </w:rPr>
        <w:t>,</w:t>
      </w:r>
      <w:r w:rsidR="00620D1D">
        <w:rPr>
          <w:lang w:eastAsia="pt-BR"/>
        </w:rPr>
        <w:t xml:space="preserve"> assinalamos como o compositor</w:t>
      </w:r>
      <w:r w:rsidR="00A12FE5">
        <w:rPr>
          <w:lang w:eastAsia="pt-BR"/>
        </w:rPr>
        <w:t>,</w:t>
      </w:r>
      <w:r w:rsidR="00620D1D">
        <w:rPr>
          <w:lang w:eastAsia="pt-BR"/>
        </w:rPr>
        <w:t xml:space="preserve"> </w:t>
      </w:r>
      <w:r w:rsidR="00A12FE5">
        <w:rPr>
          <w:lang w:eastAsia="pt-BR"/>
        </w:rPr>
        <w:t xml:space="preserve">posteriormente na obra, </w:t>
      </w:r>
      <w:r w:rsidR="00620D1D">
        <w:rPr>
          <w:lang w:eastAsia="pt-BR"/>
        </w:rPr>
        <w:t xml:space="preserve">utiliza o </w:t>
      </w:r>
      <w:r w:rsidR="00620D1D">
        <w:rPr>
          <w:i/>
          <w:lang w:eastAsia="pt-BR"/>
        </w:rPr>
        <w:t>trinado</w:t>
      </w:r>
      <w:r w:rsidR="00620D1D">
        <w:rPr>
          <w:lang w:eastAsia="pt-BR"/>
        </w:rPr>
        <w:t xml:space="preserve"> para realçar </w:t>
      </w:r>
      <w:proofErr w:type="spellStart"/>
      <w:r w:rsidR="00620D1D">
        <w:rPr>
          <w:lang w:eastAsia="pt-BR"/>
        </w:rPr>
        <w:t>timbricamente</w:t>
      </w:r>
      <w:proofErr w:type="spellEnd"/>
      <w:r w:rsidR="00620D1D">
        <w:rPr>
          <w:lang w:eastAsia="pt-BR"/>
        </w:rPr>
        <w:t xml:space="preserve"> a progressão.</w:t>
      </w:r>
    </w:p>
    <w:p w:rsidR="00A12FE5" w:rsidRPr="000E4532" w:rsidRDefault="00A12FE5" w:rsidP="00E71558">
      <w:pPr>
        <w:rPr>
          <w:szCs w:val="24"/>
        </w:rPr>
      </w:pPr>
      <w:r>
        <w:rPr>
          <w:szCs w:val="24"/>
        </w:rPr>
        <w:tab/>
        <w:t>O primeiro compasso</w:t>
      </w:r>
      <w:r w:rsidR="0008112B">
        <w:rPr>
          <w:szCs w:val="24"/>
        </w:rPr>
        <w:t xml:space="preserve"> das</w:t>
      </w:r>
      <w:r>
        <w:rPr>
          <w:szCs w:val="24"/>
        </w:rPr>
        <w:t xml:space="preserve"> </w:t>
      </w:r>
      <w:r w:rsidR="0008112B" w:rsidRPr="00B459A8">
        <w:rPr>
          <w:i/>
          <w:lang w:eastAsia="pt-BR"/>
        </w:rPr>
        <w:t xml:space="preserve">Variationen </w:t>
      </w:r>
      <w:proofErr w:type="spellStart"/>
      <w:r w:rsidR="0008112B" w:rsidRPr="00B459A8">
        <w:rPr>
          <w:i/>
          <w:lang w:eastAsia="pt-BR"/>
        </w:rPr>
        <w:t>für</w:t>
      </w:r>
      <w:proofErr w:type="spellEnd"/>
      <w:r w:rsidR="0008112B" w:rsidRPr="00B459A8">
        <w:rPr>
          <w:i/>
          <w:lang w:eastAsia="pt-BR"/>
        </w:rPr>
        <w:t xml:space="preserve"> </w:t>
      </w:r>
      <w:proofErr w:type="spellStart"/>
      <w:r w:rsidR="0008112B" w:rsidRPr="00B459A8">
        <w:rPr>
          <w:i/>
          <w:lang w:eastAsia="pt-BR"/>
        </w:rPr>
        <w:t>Orchester</w:t>
      </w:r>
      <w:proofErr w:type="spellEnd"/>
      <w:r w:rsidR="0008112B">
        <w:rPr>
          <w:szCs w:val="24"/>
        </w:rPr>
        <w:t xml:space="preserve"> </w:t>
      </w:r>
      <w:r>
        <w:rPr>
          <w:szCs w:val="24"/>
        </w:rPr>
        <w:t xml:space="preserve">apresenta o conjunto de classe de notas </w:t>
      </w:r>
      <w:r w:rsidR="002B22C7">
        <w:rPr>
          <w:szCs w:val="24"/>
        </w:rPr>
        <w:t xml:space="preserve">(0134), </w:t>
      </w:r>
      <w:r>
        <w:rPr>
          <w:szCs w:val="24"/>
        </w:rPr>
        <w:t xml:space="preserve">intensamente explorado </w:t>
      </w:r>
      <w:r w:rsidR="0008112B">
        <w:rPr>
          <w:szCs w:val="24"/>
        </w:rPr>
        <w:t xml:space="preserve">por </w:t>
      </w:r>
      <w:proofErr w:type="spellStart"/>
      <w:r w:rsidR="0008112B">
        <w:rPr>
          <w:szCs w:val="24"/>
        </w:rPr>
        <w:t>Webern</w:t>
      </w:r>
      <w:proofErr w:type="spellEnd"/>
      <w:r w:rsidR="002B22C7">
        <w:rPr>
          <w:szCs w:val="24"/>
        </w:rPr>
        <w:t xml:space="preserve"> ao longo de toda a peça</w:t>
      </w:r>
      <w:r>
        <w:rPr>
          <w:szCs w:val="24"/>
        </w:rPr>
        <w:t xml:space="preserve">. No trecho, vemos que apenas os contrabaixos ficam a cargo dessa função de apresentação (Exemplo </w:t>
      </w:r>
      <w:r w:rsidR="0008112B">
        <w:rPr>
          <w:szCs w:val="24"/>
        </w:rPr>
        <w:t>3</w:t>
      </w:r>
      <w:r>
        <w:rPr>
          <w:szCs w:val="24"/>
        </w:rPr>
        <w:t>). A partitura revela um detalhamento de articulação e dinâmica que interferem no resultado final da sonoridade instrumental desvendado pelo espectrograma.</w:t>
      </w:r>
      <w:r w:rsidR="000E4532">
        <w:rPr>
          <w:szCs w:val="24"/>
        </w:rPr>
        <w:t xml:space="preserve"> P</w:t>
      </w:r>
      <w:r>
        <w:rPr>
          <w:lang w:eastAsia="pt-BR"/>
        </w:rPr>
        <w:t>ercebemos que as duas notas mais agudas, Lá</w:t>
      </w:r>
      <w:r>
        <w:rPr>
          <w:vertAlign w:val="superscript"/>
          <w:lang w:eastAsia="pt-BR"/>
        </w:rPr>
        <w:t>(3)</w:t>
      </w:r>
      <w:r>
        <w:rPr>
          <w:lang w:eastAsia="pt-BR"/>
        </w:rPr>
        <w:t xml:space="preserve"> e Dó</w:t>
      </w:r>
      <w:r>
        <w:rPr>
          <w:vertAlign w:val="superscript"/>
          <w:lang w:eastAsia="pt-BR"/>
        </w:rPr>
        <w:t>(4)</w:t>
      </w:r>
      <w:r>
        <w:rPr>
          <w:lang w:eastAsia="pt-BR"/>
        </w:rPr>
        <w:t>, possuem uma densidade menor na disposição das frequências dos harmônicos, enquanto que as outras duas, Si</w:t>
      </w:r>
      <w:r w:rsidRPr="00F10B57">
        <w:rPr>
          <w:rFonts w:ascii="Segoe UI Symbol" w:hAnsi="Segoe UI Symbol" w:cs="Segoe UI Symbol"/>
          <w:vertAlign w:val="superscript"/>
          <w:lang w:eastAsia="ja-JP"/>
        </w:rPr>
        <w:t>♭</w:t>
      </w:r>
      <w:r>
        <w:rPr>
          <w:vertAlign w:val="superscript"/>
          <w:lang w:eastAsia="pt-BR"/>
        </w:rPr>
        <w:t>(1)</w:t>
      </w:r>
      <w:r>
        <w:rPr>
          <w:lang w:eastAsia="pt-BR"/>
        </w:rPr>
        <w:t xml:space="preserve"> e Ré</w:t>
      </w:r>
      <w:r w:rsidRPr="00F10B57">
        <w:rPr>
          <w:rFonts w:ascii="Segoe UI Symbol" w:hAnsi="Segoe UI Symbol" w:cs="Segoe UI Symbol"/>
          <w:vertAlign w:val="superscript"/>
          <w:lang w:eastAsia="ja-JP"/>
        </w:rPr>
        <w:t>♭</w:t>
      </w:r>
      <w:r>
        <w:rPr>
          <w:vertAlign w:val="superscript"/>
          <w:lang w:eastAsia="pt-BR"/>
        </w:rPr>
        <w:t>(3)</w:t>
      </w:r>
      <w:r>
        <w:rPr>
          <w:lang w:eastAsia="pt-BR"/>
        </w:rPr>
        <w:t xml:space="preserve">, possuem maior densidade. O registro e </w:t>
      </w:r>
      <w:proofErr w:type="gramStart"/>
      <w:r>
        <w:rPr>
          <w:lang w:eastAsia="pt-BR"/>
        </w:rPr>
        <w:t>a</w:t>
      </w:r>
      <w:proofErr w:type="gramEnd"/>
      <w:r>
        <w:rPr>
          <w:lang w:eastAsia="pt-BR"/>
        </w:rPr>
        <w:t xml:space="preserve"> articulação são dois fatores que contribuem para a distinção desse fragmento em dois grupos, cujo intervalo musical característico é de uma 3.ª menor. Essa distinção não é ocasional, mas faz parte do universo de toda a obra. Os contrabaixos, portanto, não apresentam apenas o conjunto de classe como um elemento </w:t>
      </w:r>
      <w:proofErr w:type="spellStart"/>
      <w:r>
        <w:rPr>
          <w:lang w:eastAsia="pt-BR"/>
        </w:rPr>
        <w:t>motívico</w:t>
      </w:r>
      <w:proofErr w:type="spellEnd"/>
      <w:r>
        <w:rPr>
          <w:lang w:eastAsia="pt-BR"/>
        </w:rPr>
        <w:t xml:space="preserve">, mas também esse intervalo, ressaltado pela diferenciação </w:t>
      </w:r>
      <w:proofErr w:type="spellStart"/>
      <w:r>
        <w:rPr>
          <w:lang w:eastAsia="pt-BR"/>
        </w:rPr>
        <w:t>tímbrica</w:t>
      </w:r>
      <w:proofErr w:type="spellEnd"/>
      <w:r>
        <w:rPr>
          <w:lang w:eastAsia="pt-BR"/>
        </w:rPr>
        <w:t xml:space="preserve"> constatado pela análise </w:t>
      </w:r>
      <w:proofErr w:type="spellStart"/>
      <w:r>
        <w:rPr>
          <w:lang w:eastAsia="pt-BR"/>
        </w:rPr>
        <w:t>espectromorfológica</w:t>
      </w:r>
      <w:proofErr w:type="spellEnd"/>
      <w:r>
        <w:rPr>
          <w:lang w:eastAsia="pt-BR"/>
        </w:rPr>
        <w:t xml:space="preserve">. No Exemplo </w:t>
      </w:r>
      <w:r w:rsidR="0008112B">
        <w:rPr>
          <w:lang w:eastAsia="pt-BR"/>
        </w:rPr>
        <w:t xml:space="preserve">4 </w:t>
      </w:r>
      <w:r>
        <w:rPr>
          <w:lang w:eastAsia="pt-BR"/>
        </w:rPr>
        <w:t>vemos, em destaque, como o intervalo de 3.ª menor irá se apresentar em outros pontos da obra.</w:t>
      </w:r>
    </w:p>
    <w:p w:rsidR="008E4322" w:rsidRDefault="005C56F1" w:rsidP="000E4532">
      <w:pPr>
        <w:rPr>
          <w:lang w:eastAsia="pt-BR"/>
        </w:rPr>
      </w:pPr>
      <w:r>
        <w:rPr>
          <w:lang w:eastAsia="pt-BR"/>
        </w:rPr>
        <w:tab/>
      </w:r>
      <w:r w:rsidR="00B7521A" w:rsidRPr="00B7521A">
        <w:rPr>
          <w:lang w:eastAsia="pt-BR"/>
        </w:rPr>
        <w:t xml:space="preserve">O Exemplo </w:t>
      </w:r>
      <w:r w:rsidR="0008112B">
        <w:rPr>
          <w:lang w:eastAsia="pt-BR"/>
        </w:rPr>
        <w:t>5</w:t>
      </w:r>
      <w:r w:rsidR="00B7521A" w:rsidRPr="00B7521A">
        <w:rPr>
          <w:lang w:eastAsia="pt-BR"/>
        </w:rPr>
        <w:t xml:space="preserve"> </w:t>
      </w:r>
      <w:r w:rsidR="002B22C7" w:rsidRPr="00B7521A">
        <w:rPr>
          <w:lang w:eastAsia="pt-BR"/>
        </w:rPr>
        <w:t>exibe</w:t>
      </w:r>
      <w:r w:rsidR="00B7521A" w:rsidRPr="00B7521A">
        <w:rPr>
          <w:lang w:eastAsia="pt-BR"/>
        </w:rPr>
        <w:t xml:space="preserve"> o espectrograma do compasso 63 da </w:t>
      </w:r>
      <w:r w:rsidR="00B7521A" w:rsidRPr="0008112B">
        <w:rPr>
          <w:i/>
          <w:lang w:eastAsia="pt-BR"/>
        </w:rPr>
        <w:t xml:space="preserve">Sinfonia </w:t>
      </w:r>
      <w:r w:rsidR="002B22C7" w:rsidRPr="0008112B">
        <w:rPr>
          <w:i/>
          <w:lang w:eastAsia="pt-BR"/>
        </w:rPr>
        <w:t>n.º 11</w:t>
      </w:r>
      <w:r w:rsidR="0008112B">
        <w:rPr>
          <w:lang w:eastAsia="pt-BR"/>
        </w:rPr>
        <w:t xml:space="preserve"> de Cláudio Santoro, </w:t>
      </w:r>
      <w:r w:rsidR="00B7521A" w:rsidRPr="00B7521A">
        <w:rPr>
          <w:lang w:eastAsia="pt-BR"/>
        </w:rPr>
        <w:t xml:space="preserve">que </w:t>
      </w:r>
      <w:r w:rsidR="002B22C7">
        <w:rPr>
          <w:lang w:eastAsia="pt-BR"/>
        </w:rPr>
        <w:t>revela</w:t>
      </w:r>
      <w:r w:rsidR="00B7521A" w:rsidRPr="00B7521A">
        <w:rPr>
          <w:lang w:eastAsia="pt-BR"/>
        </w:rPr>
        <w:t xml:space="preserve"> as alturas Sol</w:t>
      </w:r>
      <w:r w:rsidR="00B7521A" w:rsidRPr="0008112B">
        <w:rPr>
          <w:vertAlign w:val="superscript"/>
          <w:lang w:eastAsia="pt-BR"/>
        </w:rPr>
        <w:t>#</w:t>
      </w:r>
      <w:r w:rsidR="0008112B">
        <w:rPr>
          <w:vertAlign w:val="superscript"/>
          <w:lang w:eastAsia="pt-BR"/>
        </w:rPr>
        <w:t>(</w:t>
      </w:r>
      <w:r w:rsidR="00B7521A" w:rsidRPr="0008112B">
        <w:rPr>
          <w:vertAlign w:val="superscript"/>
          <w:lang w:eastAsia="pt-BR"/>
        </w:rPr>
        <w:t>3</w:t>
      </w:r>
      <w:r w:rsidR="0008112B">
        <w:rPr>
          <w:vertAlign w:val="superscript"/>
          <w:lang w:eastAsia="pt-BR"/>
        </w:rPr>
        <w:t>)</w:t>
      </w:r>
      <w:r w:rsidR="00B7521A" w:rsidRPr="00B7521A">
        <w:rPr>
          <w:lang w:eastAsia="pt-BR"/>
        </w:rPr>
        <w:t xml:space="preserve"> e Sol</w:t>
      </w:r>
      <w:r w:rsidR="00B7521A" w:rsidRPr="0008112B">
        <w:rPr>
          <w:vertAlign w:val="superscript"/>
          <w:lang w:eastAsia="pt-BR"/>
        </w:rPr>
        <w:t>#</w:t>
      </w:r>
      <w:r w:rsidR="0008112B">
        <w:rPr>
          <w:vertAlign w:val="superscript"/>
          <w:lang w:eastAsia="pt-BR"/>
        </w:rPr>
        <w:t>(</w:t>
      </w:r>
      <w:r w:rsidR="00B7521A" w:rsidRPr="0008112B">
        <w:rPr>
          <w:vertAlign w:val="superscript"/>
          <w:lang w:eastAsia="pt-BR"/>
        </w:rPr>
        <w:t>4</w:t>
      </w:r>
      <w:r w:rsidR="0008112B">
        <w:rPr>
          <w:vertAlign w:val="superscript"/>
          <w:lang w:eastAsia="pt-BR"/>
        </w:rPr>
        <w:t>)</w:t>
      </w:r>
      <w:r w:rsidR="00B7521A" w:rsidRPr="00B7521A">
        <w:rPr>
          <w:lang w:eastAsia="pt-BR"/>
        </w:rPr>
        <w:t xml:space="preserve"> como fre</w:t>
      </w:r>
      <w:r w:rsidR="0008112B">
        <w:rPr>
          <w:lang w:eastAsia="pt-BR"/>
        </w:rPr>
        <w:t>quências de maior intensidade.</w:t>
      </w:r>
      <w:r w:rsidR="00B7521A" w:rsidRPr="00B7521A">
        <w:rPr>
          <w:lang w:eastAsia="pt-BR"/>
        </w:rPr>
        <w:t xml:space="preserve"> Sol</w:t>
      </w:r>
      <w:r w:rsidR="00B7521A" w:rsidRPr="0008112B">
        <w:rPr>
          <w:vertAlign w:val="superscript"/>
          <w:lang w:eastAsia="pt-BR"/>
        </w:rPr>
        <w:t>#</w:t>
      </w:r>
      <w:r w:rsidR="0008112B">
        <w:rPr>
          <w:vertAlign w:val="superscript"/>
          <w:lang w:eastAsia="pt-BR"/>
        </w:rPr>
        <w:t>(</w:t>
      </w:r>
      <w:r w:rsidR="00B7521A" w:rsidRPr="0008112B">
        <w:rPr>
          <w:vertAlign w:val="superscript"/>
          <w:lang w:eastAsia="pt-BR"/>
        </w:rPr>
        <w:t>4</w:t>
      </w:r>
      <w:r w:rsidR="0008112B">
        <w:rPr>
          <w:vertAlign w:val="superscript"/>
          <w:lang w:eastAsia="pt-BR"/>
        </w:rPr>
        <w:t>)</w:t>
      </w:r>
      <w:r w:rsidR="00B7521A" w:rsidRPr="00B7521A">
        <w:rPr>
          <w:lang w:eastAsia="pt-BR"/>
        </w:rPr>
        <w:t>, primeiro harmônico do Sol</w:t>
      </w:r>
      <w:r w:rsidR="00B7521A" w:rsidRPr="0008112B">
        <w:rPr>
          <w:vertAlign w:val="superscript"/>
          <w:lang w:eastAsia="pt-BR"/>
        </w:rPr>
        <w:t>#</w:t>
      </w:r>
      <w:r w:rsidR="0008112B">
        <w:rPr>
          <w:vertAlign w:val="superscript"/>
          <w:lang w:eastAsia="pt-BR"/>
        </w:rPr>
        <w:t>(</w:t>
      </w:r>
      <w:r w:rsidR="00B7521A" w:rsidRPr="0008112B">
        <w:rPr>
          <w:vertAlign w:val="superscript"/>
          <w:lang w:eastAsia="pt-BR"/>
        </w:rPr>
        <w:t>3</w:t>
      </w:r>
      <w:r w:rsidR="0008112B">
        <w:rPr>
          <w:vertAlign w:val="superscript"/>
          <w:lang w:eastAsia="pt-BR"/>
        </w:rPr>
        <w:t>)</w:t>
      </w:r>
      <w:r w:rsidR="00B7521A" w:rsidRPr="00B7521A">
        <w:rPr>
          <w:lang w:eastAsia="pt-BR"/>
        </w:rPr>
        <w:t xml:space="preserve">, </w:t>
      </w:r>
      <w:r w:rsidR="009C5960">
        <w:rPr>
          <w:lang w:eastAsia="pt-BR"/>
        </w:rPr>
        <w:t xml:space="preserve">possui uma intensidade superior às demais pela natural </w:t>
      </w:r>
      <w:r w:rsidR="009C5960">
        <w:lastRenderedPageBreak/>
        <w:t>proeminência do 2.º harmônico do fagote (8.ª acima de sua fundamental) e pela sua localização dentro da região do 1.º formante desse mesmo instrumento, situada entre 440Hz e 500 Hz</w:t>
      </w:r>
      <w:r w:rsidR="00B7521A" w:rsidRPr="00B7521A">
        <w:rPr>
          <w:lang w:eastAsia="pt-BR"/>
        </w:rPr>
        <w:t xml:space="preserve"> (BACKUS, 1977). Esse harmônico, mais as notas </w:t>
      </w:r>
      <w:r w:rsidR="002B22C7">
        <w:t>Lá</w:t>
      </w:r>
      <w:r w:rsidR="0008112B" w:rsidRPr="0008112B">
        <w:rPr>
          <w:vertAlign w:val="superscript"/>
        </w:rPr>
        <w:t>(</w:t>
      </w:r>
      <w:r w:rsidR="002B22C7">
        <w:rPr>
          <w:vertAlign w:val="superscript"/>
        </w:rPr>
        <w:t>4</w:t>
      </w:r>
      <w:r w:rsidR="0008112B">
        <w:rPr>
          <w:vertAlign w:val="superscript"/>
        </w:rPr>
        <w:t>)</w:t>
      </w:r>
      <w:r w:rsidR="002B22C7">
        <w:t xml:space="preserve"> e Si</w:t>
      </w:r>
      <w:r w:rsidR="002B22C7" w:rsidRPr="002E7EF7">
        <w:rPr>
          <w:rFonts w:ascii="Segoe UI Symbol" w:hAnsi="Segoe UI Symbol" w:hint="eastAsia"/>
          <w:vertAlign w:val="superscript"/>
          <w:lang w:eastAsia="ja-JP"/>
        </w:rPr>
        <w:t>♭</w:t>
      </w:r>
      <w:r w:rsidR="0008112B">
        <w:rPr>
          <w:rFonts w:ascii="Segoe UI Symbol" w:hAnsi="Segoe UI Symbol" w:hint="eastAsia"/>
          <w:vertAlign w:val="superscript"/>
          <w:lang w:eastAsia="ja-JP"/>
        </w:rPr>
        <w:t>(</w:t>
      </w:r>
      <w:r w:rsidR="002B22C7">
        <w:rPr>
          <w:rFonts w:ascii="Segoe UI Symbol" w:hAnsi="Segoe UI Symbol" w:hint="eastAsia"/>
          <w:vertAlign w:val="superscript"/>
          <w:lang w:eastAsia="ja-JP"/>
        </w:rPr>
        <w:t>4</w:t>
      </w:r>
      <w:r w:rsidR="0008112B">
        <w:rPr>
          <w:rFonts w:ascii="Segoe UI Symbol" w:hAnsi="Segoe UI Symbol"/>
          <w:vertAlign w:val="superscript"/>
          <w:lang w:eastAsia="ja-JP"/>
        </w:rPr>
        <w:t>)</w:t>
      </w:r>
      <w:r w:rsidR="002B22C7">
        <w:t xml:space="preserve"> </w:t>
      </w:r>
      <w:r w:rsidR="00B7521A" w:rsidRPr="00B7521A">
        <w:rPr>
          <w:lang w:eastAsia="pt-BR"/>
        </w:rPr>
        <w:t xml:space="preserve">tocadas pelo oboé, pertencem </w:t>
      </w:r>
      <w:r w:rsidR="002B22C7">
        <w:rPr>
          <w:lang w:eastAsia="pt-BR"/>
        </w:rPr>
        <w:t>ao conjunto de classe</w:t>
      </w:r>
      <w:r w:rsidR="00B7521A" w:rsidRPr="00B7521A">
        <w:rPr>
          <w:lang w:eastAsia="pt-BR"/>
        </w:rPr>
        <w:t xml:space="preserve"> (012), motivo fundamental apresentado no início da peça por </w:t>
      </w:r>
      <w:r w:rsidR="009C5960">
        <w:rPr>
          <w:lang w:eastAsia="pt-BR"/>
        </w:rPr>
        <w:t>este</w:t>
      </w:r>
      <w:r w:rsidR="00B7521A" w:rsidRPr="00B7521A">
        <w:rPr>
          <w:lang w:eastAsia="pt-BR"/>
        </w:rPr>
        <w:t xml:space="preserve"> instrumento.</w:t>
      </w:r>
    </w:p>
    <w:p w:rsidR="00E71558" w:rsidRDefault="00E71558" w:rsidP="000E4532">
      <w:pPr>
        <w:rPr>
          <w:lang w:eastAsia="pt-BR"/>
        </w:rPr>
      </w:pPr>
      <w:r>
        <w:tab/>
        <w:t>Smalley (1986, p. 62) já antecipava que a espectromorfologia não estaria aprisionada apenas aos estudos relacionados à música eletroacústica. Nesse sentido, nossa metodologia permite uma maior liberdade na escolha do repertório a ser analisado e procura promover uma reflexão a respeito de como ferramentas tecnológicas, a princípio usadas para fins delimitados, possam ser utilizadas em um campo maior e mais aberto de possiblidades.</w:t>
      </w:r>
    </w:p>
    <w:p w:rsidR="005C56F1" w:rsidRDefault="005C56F1" w:rsidP="000E4532">
      <w:pPr>
        <w:rPr>
          <w:lang w:eastAsia="pt-BR"/>
        </w:rPr>
      </w:pPr>
    </w:p>
    <w:p w:rsidR="0004613D" w:rsidRDefault="0004613D" w:rsidP="000E4532">
      <w:pPr>
        <w:rPr>
          <w:lang w:val="en-US"/>
        </w:rPr>
      </w:pPr>
      <w:r w:rsidRPr="00E71558">
        <w:rPr>
          <w:b/>
        </w:rPr>
        <w:t>Palavras-chave:</w:t>
      </w:r>
      <w:r>
        <w:t xml:space="preserve"> Análise. Orquestração. </w:t>
      </w:r>
      <w:r w:rsidRPr="0008112B">
        <w:t xml:space="preserve">Espectromorfologia. </w:t>
      </w:r>
      <w:r>
        <w:rPr>
          <w:lang w:val="en-US"/>
        </w:rPr>
        <w:t>Webern.</w:t>
      </w:r>
      <w:r w:rsidRPr="0004613D">
        <w:rPr>
          <w:lang w:val="en-US"/>
        </w:rPr>
        <w:t xml:space="preserve"> Santoro.</w:t>
      </w:r>
      <w:bookmarkEnd w:id="0"/>
    </w:p>
    <w:sectPr w:rsidR="0004613D" w:rsidSect="002438B8">
      <w:footerReference w:type="default" r:id="rId7"/>
      <w:endnotePr>
        <w:numFmt w:val="decimal"/>
      </w:endnotePr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8E9" w:rsidRDefault="00D648E9" w:rsidP="00F105E5">
      <w:pPr>
        <w:spacing w:line="240" w:lineRule="auto"/>
      </w:pPr>
      <w:r>
        <w:separator/>
      </w:r>
    </w:p>
  </w:endnote>
  <w:endnote w:type="continuationSeparator" w:id="0">
    <w:p w:rsidR="00D648E9" w:rsidRDefault="00D648E9" w:rsidP="00F10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808047"/>
      <w:docPartObj>
        <w:docPartGallery w:val="Page Numbers (Bottom of Page)"/>
        <w:docPartUnique/>
      </w:docPartObj>
    </w:sdtPr>
    <w:sdtContent>
      <w:p w:rsidR="00173BB9" w:rsidRDefault="00173B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CED">
          <w:rPr>
            <w:noProof/>
          </w:rPr>
          <w:t>3</w:t>
        </w:r>
        <w:r>
          <w:fldChar w:fldCharType="end"/>
        </w:r>
      </w:p>
    </w:sdtContent>
  </w:sdt>
  <w:p w:rsidR="00173BB9" w:rsidRDefault="00173B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8E9" w:rsidRDefault="00D648E9" w:rsidP="00F105E5">
      <w:pPr>
        <w:spacing w:line="240" w:lineRule="auto"/>
      </w:pPr>
      <w:r>
        <w:separator/>
      </w:r>
    </w:p>
  </w:footnote>
  <w:footnote w:type="continuationSeparator" w:id="0">
    <w:p w:rsidR="00D648E9" w:rsidRDefault="00D648E9" w:rsidP="00F105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5C"/>
    <w:rsid w:val="00037AA9"/>
    <w:rsid w:val="0004613D"/>
    <w:rsid w:val="000474E3"/>
    <w:rsid w:val="00051B45"/>
    <w:rsid w:val="000574C3"/>
    <w:rsid w:val="00060C88"/>
    <w:rsid w:val="000648D0"/>
    <w:rsid w:val="00071639"/>
    <w:rsid w:val="0008112B"/>
    <w:rsid w:val="000858D1"/>
    <w:rsid w:val="0009699C"/>
    <w:rsid w:val="000A294F"/>
    <w:rsid w:val="000A31BE"/>
    <w:rsid w:val="000C20C4"/>
    <w:rsid w:val="000E4532"/>
    <w:rsid w:val="001339DB"/>
    <w:rsid w:val="001348B4"/>
    <w:rsid w:val="00171715"/>
    <w:rsid w:val="00173BB9"/>
    <w:rsid w:val="001A21AC"/>
    <w:rsid w:val="001B1B57"/>
    <w:rsid w:val="00217830"/>
    <w:rsid w:val="0023271A"/>
    <w:rsid w:val="002438B8"/>
    <w:rsid w:val="002455FE"/>
    <w:rsid w:val="00247EBF"/>
    <w:rsid w:val="0025075F"/>
    <w:rsid w:val="00250939"/>
    <w:rsid w:val="002B22C7"/>
    <w:rsid w:val="002E4D1F"/>
    <w:rsid w:val="002E7EF7"/>
    <w:rsid w:val="00347007"/>
    <w:rsid w:val="00385D8C"/>
    <w:rsid w:val="00391A4A"/>
    <w:rsid w:val="00392D46"/>
    <w:rsid w:val="003A0D4F"/>
    <w:rsid w:val="00441CED"/>
    <w:rsid w:val="004B226B"/>
    <w:rsid w:val="004B26BC"/>
    <w:rsid w:val="00527C2D"/>
    <w:rsid w:val="005561F4"/>
    <w:rsid w:val="00581706"/>
    <w:rsid w:val="005C56F1"/>
    <w:rsid w:val="005D5396"/>
    <w:rsid w:val="00606316"/>
    <w:rsid w:val="00620D1D"/>
    <w:rsid w:val="00633ACB"/>
    <w:rsid w:val="00642D47"/>
    <w:rsid w:val="006529AF"/>
    <w:rsid w:val="00657886"/>
    <w:rsid w:val="00666C27"/>
    <w:rsid w:val="006765DA"/>
    <w:rsid w:val="00683DE8"/>
    <w:rsid w:val="0068459C"/>
    <w:rsid w:val="00684BD0"/>
    <w:rsid w:val="006A3073"/>
    <w:rsid w:val="006E089F"/>
    <w:rsid w:val="006F6D92"/>
    <w:rsid w:val="0070085C"/>
    <w:rsid w:val="00713432"/>
    <w:rsid w:val="007745CB"/>
    <w:rsid w:val="00793EFC"/>
    <w:rsid w:val="007B0D30"/>
    <w:rsid w:val="007C0B7F"/>
    <w:rsid w:val="007D71EF"/>
    <w:rsid w:val="00820C87"/>
    <w:rsid w:val="00830C7E"/>
    <w:rsid w:val="0084302D"/>
    <w:rsid w:val="008509A6"/>
    <w:rsid w:val="0088127E"/>
    <w:rsid w:val="008B3CC1"/>
    <w:rsid w:val="008C0C81"/>
    <w:rsid w:val="008C1612"/>
    <w:rsid w:val="008D5DD3"/>
    <w:rsid w:val="008E4322"/>
    <w:rsid w:val="0090423C"/>
    <w:rsid w:val="00913B9E"/>
    <w:rsid w:val="00922519"/>
    <w:rsid w:val="009A3FF6"/>
    <w:rsid w:val="009C5960"/>
    <w:rsid w:val="009D11AB"/>
    <w:rsid w:val="00A12FE5"/>
    <w:rsid w:val="00A351EF"/>
    <w:rsid w:val="00A36192"/>
    <w:rsid w:val="00A92132"/>
    <w:rsid w:val="00AA5067"/>
    <w:rsid w:val="00AB0AD3"/>
    <w:rsid w:val="00B072B7"/>
    <w:rsid w:val="00B0759D"/>
    <w:rsid w:val="00B15D30"/>
    <w:rsid w:val="00B72614"/>
    <w:rsid w:val="00B7521A"/>
    <w:rsid w:val="00B907A6"/>
    <w:rsid w:val="00BD328C"/>
    <w:rsid w:val="00C167AA"/>
    <w:rsid w:val="00C45DA2"/>
    <w:rsid w:val="00C46ABF"/>
    <w:rsid w:val="00C92785"/>
    <w:rsid w:val="00CD5464"/>
    <w:rsid w:val="00D10815"/>
    <w:rsid w:val="00D470A9"/>
    <w:rsid w:val="00D648E9"/>
    <w:rsid w:val="00DD3981"/>
    <w:rsid w:val="00E127F7"/>
    <w:rsid w:val="00E369A2"/>
    <w:rsid w:val="00E4316D"/>
    <w:rsid w:val="00E44641"/>
    <w:rsid w:val="00E475B3"/>
    <w:rsid w:val="00E71558"/>
    <w:rsid w:val="00E86B4E"/>
    <w:rsid w:val="00E90531"/>
    <w:rsid w:val="00EF638F"/>
    <w:rsid w:val="00F105E5"/>
    <w:rsid w:val="00F2247E"/>
    <w:rsid w:val="00F352B5"/>
    <w:rsid w:val="00F45F63"/>
    <w:rsid w:val="00F65A9B"/>
    <w:rsid w:val="00F9498D"/>
    <w:rsid w:val="00FB1D2B"/>
    <w:rsid w:val="00FC61C4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0F577-5630-4D69-B03B-1C83E79B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19"/>
    <w:pPr>
      <w:tabs>
        <w:tab w:val="left" w:pos="1134"/>
      </w:tabs>
      <w:spacing w:after="0" w:line="360" w:lineRule="auto"/>
      <w:jc w:val="both"/>
    </w:pPr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s">
    <w:name w:val="Figuras"/>
    <w:basedOn w:val="Normal"/>
    <w:next w:val="Normal"/>
    <w:qFormat/>
    <w:rsid w:val="00922519"/>
    <w:pPr>
      <w:spacing w:after="240" w:line="240" w:lineRule="auto"/>
      <w:contextualSpacing/>
      <w:jc w:val="center"/>
    </w:pPr>
  </w:style>
  <w:style w:type="table" w:styleId="Tabelacomgrade">
    <w:name w:val="Table Grid"/>
    <w:basedOn w:val="Tabelanormal"/>
    <w:uiPriority w:val="39"/>
    <w:rsid w:val="00D1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70A9"/>
    <w:rPr>
      <w:color w:val="0563C1" w:themeColor="hyperlink"/>
      <w:u w:val="single"/>
    </w:rPr>
  </w:style>
  <w:style w:type="paragraph" w:customStyle="1" w:styleId="Citaodiretamaisde3linhas">
    <w:name w:val="Citação direta mais de 3 linhas"/>
    <w:basedOn w:val="Normal"/>
    <w:next w:val="Normal"/>
    <w:autoRedefine/>
    <w:qFormat/>
    <w:rsid w:val="00F105E5"/>
    <w:pPr>
      <w:spacing w:before="240" w:after="360" w:line="240" w:lineRule="auto"/>
      <w:ind w:left="2268"/>
      <w:contextualSpacing/>
    </w:pPr>
    <w:rPr>
      <w:rFonts w:cs="Times New Roman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105E5"/>
    <w:pPr>
      <w:spacing w:line="240" w:lineRule="auto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105E5"/>
    <w:rPr>
      <w:rFonts w:eastAsia="MS Mincho"/>
      <w:sz w:val="20"/>
      <w:szCs w:val="20"/>
    </w:rPr>
  </w:style>
  <w:style w:type="character" w:styleId="Refdenotaderodap">
    <w:name w:val="footnote reference"/>
    <w:rsid w:val="00F105E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B1B5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B1B57"/>
    <w:rPr>
      <w:rFonts w:cstheme="min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B1B57"/>
    <w:rPr>
      <w:vertAlign w:val="superscript"/>
    </w:rPr>
  </w:style>
  <w:style w:type="paragraph" w:customStyle="1" w:styleId="Referncias">
    <w:name w:val="Referências"/>
    <w:basedOn w:val="Normal"/>
    <w:qFormat/>
    <w:rsid w:val="00FC61C4"/>
    <w:pPr>
      <w:spacing w:line="240" w:lineRule="auto"/>
      <w:jc w:val="left"/>
    </w:pPr>
    <w:rPr>
      <w:rFonts w:eastAsia="Calibri" w:cs="Times New Roman"/>
      <w:lang w:val="en-US"/>
    </w:rPr>
  </w:style>
  <w:style w:type="paragraph" w:customStyle="1" w:styleId="Texto">
    <w:name w:val="Texto"/>
    <w:basedOn w:val="Normal"/>
    <w:qFormat/>
    <w:rsid w:val="00620D1D"/>
    <w:pPr>
      <w:ind w:firstLine="1134"/>
    </w:pPr>
  </w:style>
  <w:style w:type="paragraph" w:styleId="Cabealho">
    <w:name w:val="header"/>
    <w:basedOn w:val="Normal"/>
    <w:link w:val="CabealhoChar"/>
    <w:uiPriority w:val="99"/>
    <w:unhideWhenUsed/>
    <w:rsid w:val="00173BB9"/>
    <w:pPr>
      <w:tabs>
        <w:tab w:val="clear" w:pos="1134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BB9"/>
    <w:rPr>
      <w:rFonts w:cstheme="minorBidi"/>
    </w:rPr>
  </w:style>
  <w:style w:type="paragraph" w:styleId="Rodap">
    <w:name w:val="footer"/>
    <w:basedOn w:val="Normal"/>
    <w:link w:val="RodapChar"/>
    <w:uiPriority w:val="99"/>
    <w:unhideWhenUsed/>
    <w:rsid w:val="00173BB9"/>
    <w:pPr>
      <w:tabs>
        <w:tab w:val="clear" w:pos="1134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BB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B779A0EA-87F8-4E69-A745-DD0E8BD3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985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Lucas</dc:creator>
  <cp:keywords/>
  <dc:description/>
  <cp:lastModifiedBy>Juliano Lucas</cp:lastModifiedBy>
  <cp:revision>9</cp:revision>
  <dcterms:created xsi:type="dcterms:W3CDTF">2023-07-17T13:31:00Z</dcterms:created>
  <dcterms:modified xsi:type="dcterms:W3CDTF">2023-07-31T12:50:00Z</dcterms:modified>
</cp:coreProperties>
</file>