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66253" w14:textId="77777777" w:rsidR="001D008F" w:rsidRPr="004963EC" w:rsidRDefault="001D008F" w:rsidP="001D00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DOMINANTES DIRETOS, INDIRETOS E PARCIAIS: UMA PROPOSTA DE EXPANSÃO DA FUNÇÃO DOMINANTE</w:t>
      </w:r>
    </w:p>
    <w:p w14:paraId="76F3BD41" w14:textId="77777777" w:rsidR="00204521" w:rsidRPr="004E52B0" w:rsidRDefault="00204521" w:rsidP="00204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36D89C" w14:textId="4AA88A86" w:rsidR="00204521" w:rsidRPr="000C0DC8" w:rsidRDefault="00204521" w:rsidP="0020452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DC8">
        <w:rPr>
          <w:rFonts w:ascii="Times New Roman" w:hAnsi="Times New Roman" w:cs="Times New Roman"/>
          <w:b/>
          <w:bCs/>
          <w:sz w:val="24"/>
          <w:szCs w:val="24"/>
        </w:rPr>
        <w:t>Materiais Complementares</w:t>
      </w:r>
    </w:p>
    <w:p w14:paraId="6A06BB02" w14:textId="77777777" w:rsidR="00204521" w:rsidRPr="004E52B0" w:rsidRDefault="00204521" w:rsidP="00204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E96CC1" w14:textId="4403A67E" w:rsidR="00204521" w:rsidRPr="004E52B0" w:rsidRDefault="000F4A04" w:rsidP="00204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F0755" wp14:editId="4B4C2A68">
            <wp:extent cx="5391150" cy="2266950"/>
            <wp:effectExtent l="0" t="0" r="0" b="0"/>
            <wp:docPr id="3819577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78FC" w14:textId="16B1D98C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52B0">
        <w:rPr>
          <w:rFonts w:ascii="Times New Roman" w:hAnsi="Times New Roman" w:cs="Times New Roman"/>
          <w:b/>
          <w:bCs/>
          <w:sz w:val="20"/>
          <w:szCs w:val="20"/>
        </w:rPr>
        <w:t>Figura 1</w:t>
      </w:r>
      <w:r w:rsidRPr="004E52B0">
        <w:rPr>
          <w:rFonts w:ascii="Times New Roman" w:hAnsi="Times New Roman" w:cs="Times New Roman"/>
          <w:sz w:val="20"/>
          <w:szCs w:val="20"/>
        </w:rPr>
        <w:t xml:space="preserve">: </w:t>
      </w:r>
      <w:r w:rsidR="009D39B0">
        <w:rPr>
          <w:rFonts w:ascii="Times New Roman" w:hAnsi="Times New Roman" w:cs="Times New Roman"/>
          <w:sz w:val="20"/>
          <w:szCs w:val="20"/>
        </w:rPr>
        <w:t xml:space="preserve">Taxonomia exaustiva das resoluções do </w:t>
      </w:r>
      <w:proofErr w:type="spellStart"/>
      <w:r w:rsidR="009D39B0">
        <w:rPr>
          <w:rFonts w:ascii="Times New Roman" w:hAnsi="Times New Roman" w:cs="Times New Roman"/>
          <w:sz w:val="20"/>
          <w:szCs w:val="20"/>
        </w:rPr>
        <w:t>trítono</w:t>
      </w:r>
      <w:proofErr w:type="spellEnd"/>
      <w:r w:rsidR="009D39B0">
        <w:rPr>
          <w:rFonts w:ascii="Times New Roman" w:hAnsi="Times New Roman" w:cs="Times New Roman"/>
          <w:sz w:val="20"/>
          <w:szCs w:val="20"/>
        </w:rPr>
        <w:t xml:space="preserve"> em consonâncias</w:t>
      </w:r>
      <w:r w:rsidRPr="004E52B0">
        <w:rPr>
          <w:rFonts w:ascii="Times New Roman" w:hAnsi="Times New Roman" w:cs="Times New Roman"/>
          <w:sz w:val="20"/>
          <w:szCs w:val="20"/>
        </w:rPr>
        <w:t xml:space="preserve"> </w:t>
      </w:r>
      <w:r w:rsidR="00010C21">
        <w:rPr>
          <w:rFonts w:ascii="Times New Roman" w:hAnsi="Times New Roman" w:cs="Times New Roman"/>
          <w:sz w:val="20"/>
          <w:szCs w:val="20"/>
        </w:rPr>
        <w:t>perfeitas e imperfeitas considerando os movimentos contrário, direto e oblíquo</w:t>
      </w:r>
      <w:r w:rsidRPr="004E52B0">
        <w:rPr>
          <w:rFonts w:ascii="Times New Roman" w:hAnsi="Times New Roman" w:cs="Times New Roman"/>
          <w:sz w:val="20"/>
          <w:szCs w:val="20"/>
        </w:rPr>
        <w:t>.</w:t>
      </w:r>
    </w:p>
    <w:p w14:paraId="6081FA55" w14:textId="77777777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BDDAB1" w14:textId="77777777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C6AA7C" w14:textId="5E44BFEE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52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3E50E" wp14:editId="73504C05">
            <wp:extent cx="4842533" cy="1686549"/>
            <wp:effectExtent l="0" t="0" r="0" b="9525"/>
            <wp:docPr id="10876767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76756" name="Image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33" cy="168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217F" w14:textId="18539F66" w:rsidR="00204521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52B0">
        <w:rPr>
          <w:rFonts w:ascii="Times New Roman" w:hAnsi="Times New Roman" w:cs="Times New Roman"/>
          <w:b/>
          <w:bCs/>
          <w:sz w:val="20"/>
          <w:szCs w:val="20"/>
        </w:rPr>
        <w:t>Figura 2</w:t>
      </w:r>
      <w:r w:rsidRPr="004E52B0">
        <w:rPr>
          <w:rFonts w:ascii="Times New Roman" w:hAnsi="Times New Roman" w:cs="Times New Roman"/>
          <w:sz w:val="20"/>
          <w:szCs w:val="20"/>
        </w:rPr>
        <w:t xml:space="preserve">: </w:t>
      </w:r>
      <w:r w:rsidR="00924E4A">
        <w:rPr>
          <w:rFonts w:ascii="Times New Roman" w:hAnsi="Times New Roman" w:cs="Times New Roman"/>
          <w:sz w:val="20"/>
          <w:szCs w:val="20"/>
        </w:rPr>
        <w:t xml:space="preserve">Resoluções do </w:t>
      </w:r>
      <w:proofErr w:type="spellStart"/>
      <w:r w:rsidR="00924E4A">
        <w:rPr>
          <w:rFonts w:ascii="Times New Roman" w:hAnsi="Times New Roman" w:cs="Times New Roman"/>
          <w:sz w:val="20"/>
          <w:szCs w:val="20"/>
        </w:rPr>
        <w:t>trítono</w:t>
      </w:r>
      <w:proofErr w:type="spellEnd"/>
      <w:r w:rsidR="00924E4A">
        <w:rPr>
          <w:rFonts w:ascii="Times New Roman" w:hAnsi="Times New Roman" w:cs="Times New Roman"/>
          <w:sz w:val="20"/>
          <w:szCs w:val="20"/>
        </w:rPr>
        <w:t xml:space="preserve"> em contextos de resolução deceptiva da dominante em Dó maior.</w:t>
      </w:r>
    </w:p>
    <w:p w14:paraId="6961EE39" w14:textId="77777777" w:rsidR="002D0860" w:rsidRDefault="002D0860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DCB60D" w14:textId="3B8FCFAC" w:rsidR="002D0860" w:rsidRDefault="002D0860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1ECB62" wp14:editId="1017EC1C">
            <wp:extent cx="3648648" cy="2047962"/>
            <wp:effectExtent l="0" t="0" r="0" b="0"/>
            <wp:docPr id="10827682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68284" name="Image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648" cy="20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056D" w14:textId="127E334D" w:rsidR="00935C02" w:rsidRPr="005614DB" w:rsidRDefault="00935C02" w:rsidP="00935C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Pr="004E52B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Definição dos Dominantes Indiretos a partir </w:t>
      </w:r>
      <w:r w:rsidR="00217304">
        <w:rPr>
          <w:rFonts w:ascii="Times New Roman" w:hAnsi="Times New Roman" w:cs="Times New Roman"/>
          <w:sz w:val="20"/>
          <w:szCs w:val="20"/>
        </w:rPr>
        <w:t>das preparações para os acordes com relação mediante.</w:t>
      </w:r>
    </w:p>
    <w:p w14:paraId="250BC9A8" w14:textId="77777777" w:rsidR="00935C02" w:rsidRPr="004E52B0" w:rsidRDefault="00935C02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5D6F5E" w14:textId="0E82D755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1580FA" w14:textId="127AA061" w:rsidR="00BB2B65" w:rsidRDefault="00BB2B65" w:rsidP="005614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0567553A" wp14:editId="62DB50B5">
            <wp:extent cx="2443700" cy="2999740"/>
            <wp:effectExtent l="0" t="0" r="0" b="0"/>
            <wp:docPr id="1979866572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66572" name="Imagem 4" descr="Text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944" cy="30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0114" w14:textId="4525AAEF" w:rsidR="005614DB" w:rsidRDefault="005614DB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BB2B65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 w:rsidR="00BB2B65">
        <w:rPr>
          <w:rFonts w:ascii="Times New Roman" w:hAnsi="Times New Roman" w:cs="Times New Roman"/>
          <w:sz w:val="20"/>
          <w:szCs w:val="20"/>
        </w:rPr>
        <w:t xml:space="preserve">Resoluções do </w:t>
      </w:r>
      <w:proofErr w:type="spellStart"/>
      <w:r w:rsidR="00BB2B65">
        <w:rPr>
          <w:rFonts w:ascii="Times New Roman" w:hAnsi="Times New Roman" w:cs="Times New Roman"/>
          <w:sz w:val="20"/>
          <w:szCs w:val="20"/>
        </w:rPr>
        <w:t>trítono</w:t>
      </w:r>
      <w:proofErr w:type="spellEnd"/>
      <w:r w:rsidR="00BB2B65">
        <w:rPr>
          <w:rFonts w:ascii="Times New Roman" w:hAnsi="Times New Roman" w:cs="Times New Roman"/>
          <w:sz w:val="20"/>
          <w:szCs w:val="20"/>
        </w:rPr>
        <w:t xml:space="preserve"> </w:t>
      </w:r>
      <w:r w:rsidR="007560BC">
        <w:rPr>
          <w:rFonts w:ascii="Times New Roman" w:hAnsi="Times New Roman" w:cs="Times New Roman"/>
          <w:sz w:val="20"/>
          <w:szCs w:val="20"/>
        </w:rPr>
        <w:t>das Dominantes Indiretas</w:t>
      </w:r>
      <w:r w:rsidRPr="004E52B0">
        <w:rPr>
          <w:rFonts w:ascii="Times New Roman" w:hAnsi="Times New Roman" w:cs="Times New Roman"/>
          <w:sz w:val="20"/>
          <w:szCs w:val="20"/>
        </w:rPr>
        <w:t>.</w:t>
      </w:r>
    </w:p>
    <w:p w14:paraId="22305DEF" w14:textId="77777777" w:rsidR="007560BC" w:rsidRDefault="007560BC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C5FB3A" w14:textId="77777777" w:rsidR="00302F2C" w:rsidRDefault="00302F2C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0564A05" w14:textId="77777777" w:rsidR="001C4F2E" w:rsidRDefault="001C4F2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773CE7" w14:textId="285350D2" w:rsidR="00302F2C" w:rsidRPr="005614DB" w:rsidRDefault="00302F2C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505192" wp14:editId="66D3C3F8">
            <wp:extent cx="3505200" cy="1562645"/>
            <wp:effectExtent l="0" t="0" r="0" b="0"/>
            <wp:docPr id="10704260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6064" name="Imagem 5"/>
                    <pic:cNvPicPr/>
                  </pic:nvPicPr>
                  <pic:blipFill>
                    <a:blip r:embed="rId10"/>
                    <a:srcRect t="4173"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6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47C82" w14:textId="50230330" w:rsidR="005614DB" w:rsidRDefault="00302F2C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 w:rsidR="006273B3">
        <w:rPr>
          <w:rFonts w:ascii="Times New Roman" w:hAnsi="Times New Roman" w:cs="Times New Roman"/>
          <w:sz w:val="20"/>
          <w:szCs w:val="20"/>
        </w:rPr>
        <w:t xml:space="preserve">Fórmula </w:t>
      </w:r>
      <w:proofErr w:type="spellStart"/>
      <w:r w:rsidR="006273B3">
        <w:rPr>
          <w:rFonts w:ascii="Times New Roman" w:hAnsi="Times New Roman" w:cs="Times New Roman"/>
          <w:sz w:val="20"/>
          <w:szCs w:val="20"/>
        </w:rPr>
        <w:t>cadencial</w:t>
      </w:r>
      <w:proofErr w:type="spellEnd"/>
      <w:r w:rsidR="006273B3">
        <w:rPr>
          <w:rFonts w:ascii="Times New Roman" w:hAnsi="Times New Roman" w:cs="Times New Roman"/>
          <w:sz w:val="20"/>
          <w:szCs w:val="20"/>
        </w:rPr>
        <w:t xml:space="preserve"> indireta </w:t>
      </w:r>
      <w:r w:rsidR="008A2BCC">
        <w:rPr>
          <w:rFonts w:ascii="Times New Roman" w:hAnsi="Times New Roman" w:cs="Times New Roman"/>
          <w:sz w:val="20"/>
          <w:szCs w:val="20"/>
        </w:rPr>
        <w:t>em um excerto</w:t>
      </w:r>
      <w:r>
        <w:rPr>
          <w:rFonts w:ascii="Times New Roman" w:hAnsi="Times New Roman" w:cs="Times New Roman"/>
          <w:sz w:val="20"/>
          <w:szCs w:val="20"/>
        </w:rPr>
        <w:t xml:space="preserve"> da canção </w:t>
      </w:r>
      <w:proofErr w:type="spellStart"/>
      <w:r w:rsidRPr="00302F2C">
        <w:rPr>
          <w:rFonts w:ascii="Times New Roman" w:hAnsi="Times New Roman" w:cs="Times New Roman"/>
          <w:i/>
          <w:iCs/>
          <w:sz w:val="20"/>
          <w:szCs w:val="20"/>
        </w:rPr>
        <w:t>Wave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Tom Jobim</w:t>
      </w:r>
      <w:r w:rsidR="008A2BCC">
        <w:rPr>
          <w:rFonts w:ascii="Times New Roman" w:hAnsi="Times New Roman" w:cs="Times New Roman"/>
          <w:sz w:val="20"/>
          <w:szCs w:val="20"/>
        </w:rPr>
        <w:t xml:space="preserve">: a) harmonia original e b) acordes de preparação direta que poderiam ter sido </w:t>
      </w:r>
      <w:r w:rsidR="001C4F2E">
        <w:rPr>
          <w:rFonts w:ascii="Times New Roman" w:hAnsi="Times New Roman" w:cs="Times New Roman"/>
          <w:sz w:val="20"/>
          <w:szCs w:val="20"/>
        </w:rPr>
        <w:t>utilizadas.</w:t>
      </w:r>
    </w:p>
    <w:p w14:paraId="6DBE4390" w14:textId="77777777" w:rsidR="001C4F2E" w:rsidRDefault="001C4F2E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1D31B8" w14:textId="77777777" w:rsidR="001C4F2E" w:rsidRPr="004E52B0" w:rsidRDefault="001C4F2E" w:rsidP="00204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6BC4BE" w14:textId="4DD63E52" w:rsidR="00204521" w:rsidRPr="004E52B0" w:rsidRDefault="00204521" w:rsidP="00204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2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157D92" wp14:editId="65936CD3">
            <wp:extent cx="4943475" cy="4383516"/>
            <wp:effectExtent l="0" t="0" r="0" b="0"/>
            <wp:docPr id="2968750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75078" name="Imagem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328" cy="439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EC70" w14:textId="1178A3AF" w:rsidR="00C62D8E" w:rsidRDefault="005614DB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5C1636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 w:rsidR="005C1636">
        <w:rPr>
          <w:rFonts w:ascii="Times New Roman" w:hAnsi="Times New Roman" w:cs="Times New Roman"/>
          <w:sz w:val="20"/>
          <w:szCs w:val="20"/>
        </w:rPr>
        <w:t>Exemplos de Dominantes Indiretos n</w:t>
      </w:r>
      <w:r w:rsidR="005535A4">
        <w:rPr>
          <w:rFonts w:ascii="Times New Roman" w:hAnsi="Times New Roman" w:cs="Times New Roman"/>
          <w:sz w:val="20"/>
          <w:szCs w:val="20"/>
        </w:rPr>
        <w:t xml:space="preserve">as canções </w:t>
      </w:r>
      <w:r w:rsidR="005535A4" w:rsidRPr="005535A4">
        <w:rPr>
          <w:rFonts w:ascii="Times New Roman" w:hAnsi="Times New Roman" w:cs="Times New Roman"/>
          <w:i/>
          <w:iCs/>
          <w:sz w:val="20"/>
          <w:szCs w:val="20"/>
        </w:rPr>
        <w:t>Chuva</w:t>
      </w:r>
      <w:r w:rsidR="005535A4">
        <w:rPr>
          <w:rFonts w:ascii="Times New Roman" w:hAnsi="Times New Roman" w:cs="Times New Roman"/>
          <w:sz w:val="20"/>
          <w:szCs w:val="20"/>
        </w:rPr>
        <w:t xml:space="preserve">, de Pedro Camargo e Durval Ferreira, </w:t>
      </w:r>
      <w:r w:rsidR="005535A4" w:rsidRPr="005535A4">
        <w:rPr>
          <w:rFonts w:ascii="Times New Roman" w:hAnsi="Times New Roman" w:cs="Times New Roman"/>
          <w:i/>
          <w:iCs/>
          <w:sz w:val="20"/>
          <w:szCs w:val="20"/>
        </w:rPr>
        <w:t>Candeias</w:t>
      </w:r>
      <w:r w:rsidR="005535A4">
        <w:rPr>
          <w:rFonts w:ascii="Times New Roman" w:hAnsi="Times New Roman" w:cs="Times New Roman"/>
          <w:sz w:val="20"/>
          <w:szCs w:val="20"/>
        </w:rPr>
        <w:t xml:space="preserve">, de Caetano Veloso e </w:t>
      </w:r>
      <w:r w:rsidR="005535A4" w:rsidRPr="005535A4">
        <w:rPr>
          <w:rFonts w:ascii="Times New Roman" w:hAnsi="Times New Roman" w:cs="Times New Roman"/>
          <w:i/>
          <w:iCs/>
          <w:sz w:val="20"/>
          <w:szCs w:val="20"/>
        </w:rPr>
        <w:t>Maria Ninguém</w:t>
      </w:r>
      <w:r w:rsidR="005535A4">
        <w:rPr>
          <w:rFonts w:ascii="Times New Roman" w:hAnsi="Times New Roman" w:cs="Times New Roman"/>
          <w:sz w:val="20"/>
          <w:szCs w:val="20"/>
        </w:rPr>
        <w:t xml:space="preserve"> de João Gilberto.</w:t>
      </w:r>
    </w:p>
    <w:p w14:paraId="4F455B3C" w14:textId="77777777" w:rsidR="00C62D8E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617D319" w14:textId="77777777" w:rsidR="00C62D8E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E580B0D" w14:textId="77777777" w:rsidR="00C62D8E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A43A266" w14:textId="77777777" w:rsidR="00C62D8E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3C1079" w14:textId="77777777" w:rsidR="00C62D8E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F205FE2" w14:textId="112D2C2B" w:rsidR="00C62D8E" w:rsidRDefault="00B01A16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D0420F3" wp14:editId="264A6914">
            <wp:extent cx="3952875" cy="1086297"/>
            <wp:effectExtent l="0" t="0" r="0" b="0"/>
            <wp:docPr id="487159097" name="Imagem 6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59097" name="Imagem 6" descr="Tela de celular com texto preto sobre fundo branco&#10;&#10;Descrição gerada automaticamente com confiança mé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0836" cy="10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5FA5" w14:textId="50F289AA" w:rsidR="00B01A16" w:rsidRDefault="00B01A16" w:rsidP="00B01A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1C6DC2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Definição dos Dominantes Parciais </w:t>
      </w:r>
      <w:r w:rsidR="00515543">
        <w:rPr>
          <w:rFonts w:ascii="Times New Roman" w:hAnsi="Times New Roman" w:cs="Times New Roman"/>
          <w:sz w:val="20"/>
          <w:szCs w:val="20"/>
        </w:rPr>
        <w:t>a partir dos acordes de</w:t>
      </w:r>
      <w:r w:rsidR="003E28FE">
        <w:rPr>
          <w:rFonts w:ascii="Times New Roman" w:hAnsi="Times New Roman" w:cs="Times New Roman"/>
          <w:sz w:val="20"/>
          <w:szCs w:val="20"/>
        </w:rPr>
        <w:t xml:space="preserve"> sexta aumentada.</w:t>
      </w:r>
    </w:p>
    <w:p w14:paraId="7799A2E9" w14:textId="77777777" w:rsidR="00C62D8E" w:rsidRPr="005614DB" w:rsidRDefault="00C62D8E" w:rsidP="005614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228C59" w14:textId="77D5119F" w:rsidR="001C6DC2" w:rsidRDefault="001C6DC2" w:rsidP="00204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120B3B" wp14:editId="722BCBB3">
            <wp:extent cx="4638675" cy="1862234"/>
            <wp:effectExtent l="0" t="0" r="0" b="5080"/>
            <wp:docPr id="626207242" name="Imagem 1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07242" name="Imagem 1" descr="Diagrama, Esquemátic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1681" cy="1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BDAE" w14:textId="73BC737E" w:rsidR="001C6DC2" w:rsidRDefault="001C6DC2" w:rsidP="001C6D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Dominantes extraordinários propostos por Bittencourt</w:t>
      </w:r>
      <w:r w:rsidR="00380BC6">
        <w:rPr>
          <w:rFonts w:ascii="Times New Roman" w:hAnsi="Times New Roman" w:cs="Times New Roman"/>
          <w:sz w:val="20"/>
          <w:szCs w:val="20"/>
        </w:rPr>
        <w:t xml:space="preserve"> (2013, p. 40)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859BD40" w14:textId="45837DFD" w:rsidR="00B87114" w:rsidRDefault="00B87114" w:rsidP="004845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608533B7" wp14:editId="2D5BF0A5">
            <wp:extent cx="4743654" cy="3579495"/>
            <wp:effectExtent l="0" t="0" r="0" b="1905"/>
            <wp:docPr id="1124969616" name="Imagem 7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69616" name="Imagem 7" descr="Diagrama&#10;&#10;Descrição gerada automaticamente com confiança baix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5450" cy="35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8FC4" w14:textId="5C6C0DC9" w:rsidR="0048456B" w:rsidRDefault="0048456B" w:rsidP="004845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14DB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5614D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Exemplos de Dominantes Parciais nas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canções </w:t>
      </w:r>
      <w:r w:rsidR="0058243E">
        <w:rPr>
          <w:rFonts w:ascii="Times New Roman" w:hAnsi="Times New Roman" w:cs="Times New Roman"/>
          <w:i/>
          <w:iCs/>
          <w:sz w:val="20"/>
          <w:szCs w:val="20"/>
        </w:rPr>
        <w:t>Sem</w:t>
      </w:r>
      <w:proofErr w:type="gramEnd"/>
      <w:r w:rsidR="0058243E">
        <w:rPr>
          <w:rFonts w:ascii="Times New Roman" w:hAnsi="Times New Roman" w:cs="Times New Roman"/>
          <w:i/>
          <w:iCs/>
          <w:sz w:val="20"/>
          <w:szCs w:val="20"/>
        </w:rPr>
        <w:t xml:space="preserve"> mais adeus</w:t>
      </w:r>
      <w:r w:rsidR="0058243E">
        <w:rPr>
          <w:rFonts w:ascii="Times New Roman" w:hAnsi="Times New Roman" w:cs="Times New Roman"/>
          <w:sz w:val="20"/>
          <w:szCs w:val="20"/>
        </w:rPr>
        <w:t xml:space="preserve"> de Francis </w:t>
      </w:r>
      <w:proofErr w:type="spellStart"/>
      <w:r w:rsidR="0058243E">
        <w:rPr>
          <w:rFonts w:ascii="Times New Roman" w:hAnsi="Times New Roman" w:cs="Times New Roman"/>
          <w:sz w:val="20"/>
          <w:szCs w:val="20"/>
        </w:rPr>
        <w:t>Hime</w:t>
      </w:r>
      <w:proofErr w:type="spellEnd"/>
      <w:r w:rsidR="0058243E">
        <w:rPr>
          <w:rFonts w:ascii="Times New Roman" w:hAnsi="Times New Roman" w:cs="Times New Roman"/>
          <w:sz w:val="20"/>
          <w:szCs w:val="20"/>
        </w:rPr>
        <w:t xml:space="preserve"> e Vinicius de Moraes e </w:t>
      </w:r>
      <w:proofErr w:type="spellStart"/>
      <w:r w:rsidR="0058243E">
        <w:rPr>
          <w:rFonts w:ascii="Times New Roman" w:hAnsi="Times New Roman" w:cs="Times New Roman"/>
          <w:i/>
          <w:iCs/>
          <w:sz w:val="20"/>
          <w:szCs w:val="20"/>
        </w:rPr>
        <w:t>Olê</w:t>
      </w:r>
      <w:proofErr w:type="spellEnd"/>
      <w:r w:rsidR="0058243E">
        <w:rPr>
          <w:rFonts w:ascii="Times New Roman" w:hAnsi="Times New Roman" w:cs="Times New Roman"/>
          <w:i/>
          <w:iCs/>
          <w:sz w:val="20"/>
          <w:szCs w:val="20"/>
        </w:rPr>
        <w:t xml:space="preserve">, Olá </w:t>
      </w:r>
      <w:r w:rsidR="0058243E">
        <w:rPr>
          <w:rFonts w:ascii="Times New Roman" w:hAnsi="Times New Roman" w:cs="Times New Roman"/>
          <w:sz w:val="20"/>
          <w:szCs w:val="20"/>
        </w:rPr>
        <w:t>de Chico Buarque.</w:t>
      </w:r>
    </w:p>
    <w:p w14:paraId="01B9E12A" w14:textId="77777777" w:rsidR="001C6DC2" w:rsidRDefault="001C6DC2" w:rsidP="00204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2491CF" w14:textId="77777777" w:rsidR="001C6DC2" w:rsidRPr="004E52B0" w:rsidRDefault="001C6DC2" w:rsidP="00204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6E34D1" w14:textId="435D9A8A" w:rsidR="00260EB3" w:rsidRPr="004E52B0" w:rsidRDefault="00260EB3" w:rsidP="00260E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52B0">
        <w:rPr>
          <w:rFonts w:ascii="Times New Roman" w:hAnsi="Times New Roman" w:cs="Times New Roman"/>
          <w:b/>
          <w:bCs/>
          <w:sz w:val="24"/>
          <w:szCs w:val="24"/>
        </w:rPr>
        <w:t>Bibliografia</w:t>
      </w:r>
    </w:p>
    <w:p w14:paraId="55B3F5F7" w14:textId="77777777" w:rsidR="00260EB3" w:rsidRPr="004E52B0" w:rsidRDefault="00260EB3" w:rsidP="00260E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043856" w14:textId="7BF20ABD" w:rsidR="00380BC6" w:rsidRDefault="00380BC6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80BC6">
        <w:rPr>
          <w:rFonts w:ascii="Times New Roman" w:eastAsiaTheme="minorEastAsia" w:hAnsi="Times New Roman" w:cs="Times New Roman"/>
          <w:sz w:val="24"/>
          <w:szCs w:val="24"/>
          <w:lang w:val="en-US"/>
        </w:rPr>
        <w:t>BITTENCOURT, Marcus Alessi. Reimagining a Riemannian symbology for the structural harmonic analysis of 19th-century tonal music</w:t>
      </w:r>
      <w:r w:rsidRPr="00380BC6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380BC6">
        <w:rPr>
          <w:rFonts w:ascii="Times New Roman" w:eastAsiaTheme="minorEastAsia" w:hAnsi="Times New Roman" w:cs="Times New Roman"/>
          <w:i/>
          <w:iCs/>
          <w:sz w:val="24"/>
          <w:szCs w:val="24"/>
        </w:rPr>
        <w:t>Revista Vórtex</w:t>
      </w:r>
      <w:r w:rsidRPr="00380BC6">
        <w:rPr>
          <w:rFonts w:ascii="Times New Roman" w:eastAsiaTheme="minorEastAsia" w:hAnsi="Times New Roman" w:cs="Times New Roman"/>
          <w:sz w:val="24"/>
          <w:szCs w:val="24"/>
        </w:rPr>
        <w:t>, Curitiba, n.2, 2013, p.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80BC6">
        <w:rPr>
          <w:rFonts w:ascii="Times New Roman" w:eastAsiaTheme="minorEastAsia" w:hAnsi="Times New Roman" w:cs="Times New Roman"/>
          <w:sz w:val="24"/>
          <w:szCs w:val="24"/>
        </w:rPr>
        <w:t xml:space="preserve">30-48 </w:t>
      </w:r>
    </w:p>
    <w:p w14:paraId="59B347E1" w14:textId="332FC779" w:rsidR="008E402F" w:rsidRPr="008E402F" w:rsidRDefault="008E402F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E402F">
        <w:rPr>
          <w:rFonts w:ascii="Times New Roman" w:eastAsiaTheme="minorEastAsia" w:hAnsi="Times New Roman" w:cs="Times New Roman"/>
          <w:sz w:val="24"/>
          <w:szCs w:val="24"/>
        </w:rPr>
        <w:t xml:space="preserve">DUDUEQUE, Norton E. Schoenberg e a Função tonal. </w:t>
      </w:r>
      <w:r w:rsidRPr="00BF2746">
        <w:rPr>
          <w:rFonts w:ascii="Times New Roman" w:eastAsiaTheme="minorEastAsia" w:hAnsi="Times New Roman" w:cs="Times New Roman"/>
          <w:i/>
          <w:iCs/>
          <w:sz w:val="24"/>
          <w:szCs w:val="24"/>
        </w:rPr>
        <w:t>Revista Eletrônica de Musicologia</w:t>
      </w:r>
      <w:r w:rsidRPr="008E402F">
        <w:rPr>
          <w:rFonts w:ascii="Times New Roman" w:eastAsiaTheme="minorEastAsia" w:hAnsi="Times New Roman" w:cs="Times New Roman"/>
          <w:sz w:val="24"/>
          <w:szCs w:val="24"/>
        </w:rPr>
        <w:t>, Vol. 2</w:t>
      </w:r>
      <w:r w:rsidR="00BF2746">
        <w:rPr>
          <w:rFonts w:ascii="Times New Roman" w:eastAsiaTheme="minorEastAsia" w:hAnsi="Times New Roman" w:cs="Times New Roman"/>
          <w:sz w:val="24"/>
          <w:szCs w:val="24"/>
        </w:rPr>
        <w:t>, No. 1</w:t>
      </w:r>
      <w:r w:rsidRPr="008E402F">
        <w:rPr>
          <w:rFonts w:ascii="Times New Roman" w:eastAsiaTheme="minorEastAsia" w:hAnsi="Times New Roman" w:cs="Times New Roman"/>
          <w:sz w:val="24"/>
          <w:szCs w:val="24"/>
        </w:rPr>
        <w:t>/</w:t>
      </w:r>
      <w:proofErr w:type="gramStart"/>
      <w:r w:rsidRPr="008E402F">
        <w:rPr>
          <w:rFonts w:ascii="Times New Roman" w:eastAsiaTheme="minorEastAsia" w:hAnsi="Times New Roman" w:cs="Times New Roman"/>
          <w:sz w:val="24"/>
          <w:szCs w:val="24"/>
        </w:rPr>
        <w:t>Outubro</w:t>
      </w:r>
      <w:proofErr w:type="gramEnd"/>
      <w:r w:rsidRPr="008E402F">
        <w:rPr>
          <w:rFonts w:ascii="Times New Roman" w:eastAsiaTheme="minorEastAsia" w:hAnsi="Times New Roman" w:cs="Times New Roman"/>
          <w:sz w:val="24"/>
          <w:szCs w:val="24"/>
        </w:rPr>
        <w:t xml:space="preserve"> de 1997. Departamento de Artes da UFPR.</w:t>
      </w:r>
    </w:p>
    <w:p w14:paraId="27D55F06" w14:textId="77777777" w:rsidR="008E402F" w:rsidRPr="008E402F" w:rsidRDefault="008E402F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E402F">
        <w:rPr>
          <w:rFonts w:ascii="Times New Roman" w:eastAsiaTheme="minorEastAsia" w:hAnsi="Times New Roman" w:cs="Times New Roman"/>
          <w:sz w:val="24"/>
          <w:szCs w:val="24"/>
        </w:rPr>
        <w:t xml:space="preserve">KOELLREUTTER, Hans J. </w:t>
      </w:r>
      <w:r w:rsidRPr="00484CC7">
        <w:rPr>
          <w:rFonts w:ascii="Times New Roman" w:eastAsiaTheme="minorEastAsia" w:hAnsi="Times New Roman" w:cs="Times New Roman"/>
          <w:i/>
          <w:iCs/>
          <w:sz w:val="24"/>
          <w:szCs w:val="24"/>
        </w:rPr>
        <w:t>Introdução à Harmonia Funcional</w:t>
      </w:r>
      <w:r w:rsidRPr="008E402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São Paulo: </w:t>
      </w:r>
      <w:proofErr w:type="spellStart"/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Ricordi</w:t>
      </w:r>
      <w:proofErr w:type="spellEnd"/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, 1980.</w:t>
      </w:r>
    </w:p>
    <w:p w14:paraId="2659BDF5" w14:textId="79C7A829" w:rsidR="008E402F" w:rsidRPr="008E402F" w:rsidRDefault="008E402F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KOSTKA, Stefan &amp; PAYNE, Dorothy</w:t>
      </w:r>
      <w:r w:rsidR="00484CC7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484CC7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Tonal Harmony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: with an introduction to twentieth-century music. </w:t>
      </w:r>
      <w:r w:rsidR="00187A0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8ª </w:t>
      </w:r>
      <w:proofErr w:type="spellStart"/>
      <w:r w:rsidR="00187A03">
        <w:rPr>
          <w:rFonts w:ascii="Times New Roman" w:eastAsiaTheme="minorEastAsia" w:hAnsi="Times New Roman" w:cs="Times New Roman"/>
          <w:sz w:val="24"/>
          <w:szCs w:val="24"/>
          <w:lang w:val="en-US"/>
        </w:rPr>
        <w:t>Edição</w:t>
      </w:r>
      <w:proofErr w:type="spellEnd"/>
      <w:r w:rsidR="00187A0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187A0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ova 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York: McGraw-Hill, 20</w:t>
      </w:r>
      <w:r w:rsidR="00187A03">
        <w:rPr>
          <w:rFonts w:ascii="Times New Roman" w:eastAsiaTheme="minorEastAsia" w:hAnsi="Times New Roman" w:cs="Times New Roman"/>
          <w:sz w:val="24"/>
          <w:szCs w:val="24"/>
          <w:lang w:val="en-US"/>
        </w:rPr>
        <w:t>18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14:paraId="5BD932F3" w14:textId="2B327640" w:rsidR="008E402F" w:rsidRPr="00346662" w:rsidRDefault="00346662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>OWEN</w:t>
      </w: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>Harold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346662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Modal and Tonal Counterpoint</w:t>
      </w:r>
      <w:r w:rsidRPr="00346662">
        <w:rPr>
          <w:rFonts w:ascii="Times New Roman" w:eastAsiaTheme="minorEastAsia" w:hAnsi="Times New Roman" w:cs="Times New Roman"/>
          <w:sz w:val="24"/>
          <w:szCs w:val="24"/>
          <w:lang w:val="en-US"/>
        </w:rPr>
        <w:t>: From Josquin to. Stravinsky. New York: Schirmer Books, 1992.</w:t>
      </w:r>
    </w:p>
    <w:p w14:paraId="3684710A" w14:textId="448D034B" w:rsidR="008E402F" w:rsidRPr="008E402F" w:rsidRDefault="008E402F" w:rsidP="00BF274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PISTON, Walter. Harmony. 5ª ed. </w:t>
      </w:r>
      <w:proofErr w:type="spellStart"/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Londres</w:t>
      </w:r>
      <w:proofErr w:type="spellEnd"/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: Norton, 19</w:t>
      </w:r>
      <w:r w:rsidR="009B6BDF">
        <w:rPr>
          <w:rFonts w:ascii="Times New Roman" w:eastAsiaTheme="minorEastAsia" w:hAnsi="Times New Roman" w:cs="Times New Roman"/>
          <w:sz w:val="24"/>
          <w:szCs w:val="24"/>
          <w:lang w:val="en-US"/>
        </w:rPr>
        <w:t>59</w:t>
      </w: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14:paraId="25B9B2BF" w14:textId="74374A29" w:rsidR="00A63A88" w:rsidRPr="008F1A63" w:rsidRDefault="008E402F" w:rsidP="00BF274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402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SCHOENBERG, Arnold. Harmonia. Trad. Marden Maluf. </w:t>
      </w:r>
      <w:r w:rsidRPr="008E402F">
        <w:rPr>
          <w:rFonts w:ascii="Times New Roman" w:eastAsiaTheme="minorEastAsia" w:hAnsi="Times New Roman" w:cs="Times New Roman"/>
          <w:sz w:val="24"/>
          <w:szCs w:val="24"/>
        </w:rPr>
        <w:t>São Paulo: Editora UNESP, 1999.</w:t>
      </w:r>
    </w:p>
    <w:sectPr w:rsidR="00A63A88" w:rsidRPr="008F1A63" w:rsidSect="00204521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D21DF" w14:textId="77777777" w:rsidR="00204521" w:rsidRDefault="00204521" w:rsidP="00204521">
      <w:pPr>
        <w:spacing w:after="0" w:line="240" w:lineRule="auto"/>
      </w:pPr>
      <w:r>
        <w:separator/>
      </w:r>
    </w:p>
  </w:endnote>
  <w:endnote w:type="continuationSeparator" w:id="0">
    <w:p w14:paraId="5D3EBFA8" w14:textId="77777777" w:rsidR="00204521" w:rsidRDefault="00204521" w:rsidP="0020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603CD" w14:textId="77777777" w:rsidR="00204521" w:rsidRDefault="00204521" w:rsidP="00204521">
      <w:pPr>
        <w:spacing w:after="0" w:line="240" w:lineRule="auto"/>
      </w:pPr>
      <w:r>
        <w:separator/>
      </w:r>
    </w:p>
  </w:footnote>
  <w:footnote w:type="continuationSeparator" w:id="0">
    <w:p w14:paraId="226E4B9A" w14:textId="77777777" w:rsidR="00204521" w:rsidRDefault="00204521" w:rsidP="00204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521"/>
    <w:rsid w:val="00010C21"/>
    <w:rsid w:val="000363F8"/>
    <w:rsid w:val="0009046C"/>
    <w:rsid w:val="000A5693"/>
    <w:rsid w:val="000C0DC8"/>
    <w:rsid w:val="000C45CB"/>
    <w:rsid w:val="000F4A04"/>
    <w:rsid w:val="00180E9E"/>
    <w:rsid w:val="00187A03"/>
    <w:rsid w:val="001C4F2E"/>
    <w:rsid w:val="001C6DC2"/>
    <w:rsid w:val="001D008F"/>
    <w:rsid w:val="00204521"/>
    <w:rsid w:val="00216841"/>
    <w:rsid w:val="00217304"/>
    <w:rsid w:val="00260EB3"/>
    <w:rsid w:val="002D0860"/>
    <w:rsid w:val="00302F2C"/>
    <w:rsid w:val="00346662"/>
    <w:rsid w:val="003674EB"/>
    <w:rsid w:val="00380BC6"/>
    <w:rsid w:val="003B56F5"/>
    <w:rsid w:val="003B7AD4"/>
    <w:rsid w:val="003E28FE"/>
    <w:rsid w:val="004533B6"/>
    <w:rsid w:val="0048456B"/>
    <w:rsid w:val="00484CC7"/>
    <w:rsid w:val="004D1A00"/>
    <w:rsid w:val="004E52B0"/>
    <w:rsid w:val="004E5D41"/>
    <w:rsid w:val="00515543"/>
    <w:rsid w:val="00547453"/>
    <w:rsid w:val="005535A4"/>
    <w:rsid w:val="005614DB"/>
    <w:rsid w:val="00565822"/>
    <w:rsid w:val="0058243E"/>
    <w:rsid w:val="005C1636"/>
    <w:rsid w:val="006273B3"/>
    <w:rsid w:val="00705181"/>
    <w:rsid w:val="007560BC"/>
    <w:rsid w:val="00783A50"/>
    <w:rsid w:val="008A2BCC"/>
    <w:rsid w:val="008D0CF8"/>
    <w:rsid w:val="008E402F"/>
    <w:rsid w:val="008F1A63"/>
    <w:rsid w:val="00924E4A"/>
    <w:rsid w:val="00935C02"/>
    <w:rsid w:val="00980A51"/>
    <w:rsid w:val="009B6BDF"/>
    <w:rsid w:val="009D39B0"/>
    <w:rsid w:val="00A63A88"/>
    <w:rsid w:val="00B01A16"/>
    <w:rsid w:val="00B170E3"/>
    <w:rsid w:val="00B60C6C"/>
    <w:rsid w:val="00B87114"/>
    <w:rsid w:val="00BB2B65"/>
    <w:rsid w:val="00BE753B"/>
    <w:rsid w:val="00BF2746"/>
    <w:rsid w:val="00C62D8E"/>
    <w:rsid w:val="00D70994"/>
    <w:rsid w:val="00E6567D"/>
    <w:rsid w:val="00EE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B24AB5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A16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204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04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04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04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04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04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04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04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04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4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04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04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0452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0452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0452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0452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0452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0452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04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04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04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04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04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0452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0452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0452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04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0452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04521"/>
    <w:rPr>
      <w:b/>
      <w:bCs/>
      <w:smallCaps/>
      <w:color w:val="0F4761" w:themeColor="accent1" w:themeShade="BF"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45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452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04521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8D0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0CF8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8D0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0CF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6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1676</Characters>
  <Application>Microsoft Office Word</Application>
  <DocSecurity>2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2024-07-31T22:08:00Z</dcterms:created>
  <dcterms:modified xsi:type="dcterms:W3CDTF">2024-08-01T02:34:00Z</dcterms:modified>
</cp:coreProperties>
</file>