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777A0" w14:textId="77777777" w:rsidR="00A76689" w:rsidRPr="007779F0" w:rsidRDefault="00A76689" w:rsidP="00A766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F0">
        <w:rPr>
          <w:rFonts w:ascii="Times New Roman" w:hAnsi="Times New Roman" w:cs="Times New Roman"/>
          <w:b/>
          <w:bCs/>
          <w:sz w:val="24"/>
          <w:szCs w:val="24"/>
        </w:rPr>
        <w:t>DOMINANTES DIRETOS, INDIRETOS E PARCIAIS: UMA PROPOSTA DE EXPANSÃO DA FUNÇÃO DOMINANTE</w:t>
      </w:r>
    </w:p>
    <w:p w14:paraId="19852D03" w14:textId="77777777" w:rsidR="00A76689" w:rsidRPr="007779F0" w:rsidRDefault="00A76689" w:rsidP="00A766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C978B" w14:textId="77777777" w:rsidR="00A76689" w:rsidRPr="007779F0" w:rsidRDefault="00A76689" w:rsidP="00A766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79F0">
        <w:rPr>
          <w:rFonts w:ascii="Times New Roman" w:hAnsi="Times New Roman" w:cs="Times New Roman"/>
          <w:sz w:val="24"/>
          <w:szCs w:val="24"/>
        </w:rPr>
        <w:t>Eixo temático geral: Teoria e análise da música popular</w:t>
      </w:r>
    </w:p>
    <w:p w14:paraId="54EE85F6" w14:textId="77777777" w:rsidR="00A76689" w:rsidRPr="007779F0" w:rsidRDefault="00A76689" w:rsidP="00A7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6FD18" w14:textId="1F8847E2" w:rsidR="003B705E" w:rsidRPr="007779F0" w:rsidRDefault="00D01A51" w:rsidP="003B7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9F0">
        <w:rPr>
          <w:rFonts w:ascii="Times New Roman" w:hAnsi="Times New Roman" w:cs="Times New Roman"/>
          <w:sz w:val="24"/>
          <w:szCs w:val="24"/>
        </w:rPr>
        <w:t xml:space="preserve">Conforme explica </w:t>
      </w:r>
      <w:proofErr w:type="spellStart"/>
      <w:r w:rsidRPr="007779F0">
        <w:rPr>
          <w:rFonts w:ascii="Times New Roman" w:hAnsi="Times New Roman" w:cs="Times New Roman"/>
          <w:sz w:val="24"/>
          <w:szCs w:val="24"/>
        </w:rPr>
        <w:t>Dudeque</w:t>
      </w:r>
      <w:proofErr w:type="spellEnd"/>
      <w:r w:rsidRPr="007779F0">
        <w:rPr>
          <w:rFonts w:ascii="Times New Roman" w:hAnsi="Times New Roman" w:cs="Times New Roman"/>
          <w:sz w:val="24"/>
          <w:szCs w:val="24"/>
        </w:rPr>
        <w:t xml:space="preserve"> (1997), o termo “função tonal” é frequentemente utilizado de maneira vaga, sem uma definição clara. Arnold Schoenberg entende a função tonal como algo mais complexo do que apenas a relação entre acordes, envolvendo uma rede de relacionamentos complexos entre notas, acordes e regiões (DUDEQUE, 1997, </w:t>
      </w:r>
      <w:proofErr w:type="spellStart"/>
      <w:r w:rsidRPr="007779F0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7779F0">
        <w:rPr>
          <w:rFonts w:ascii="Times New Roman" w:hAnsi="Times New Roman" w:cs="Times New Roman"/>
          <w:sz w:val="24"/>
          <w:szCs w:val="24"/>
        </w:rPr>
        <w:t xml:space="preserve">). Na perspectiva </w:t>
      </w:r>
      <w:proofErr w:type="spellStart"/>
      <w:r w:rsidRPr="007779F0">
        <w:rPr>
          <w:rFonts w:ascii="Times New Roman" w:hAnsi="Times New Roman" w:cs="Times New Roman"/>
          <w:sz w:val="24"/>
          <w:szCs w:val="24"/>
        </w:rPr>
        <w:t>Riemanniana</w:t>
      </w:r>
      <w:proofErr w:type="spellEnd"/>
      <w:r w:rsidRPr="007779F0">
        <w:rPr>
          <w:rFonts w:ascii="Times New Roman" w:hAnsi="Times New Roman" w:cs="Times New Roman"/>
          <w:sz w:val="24"/>
          <w:szCs w:val="24"/>
        </w:rPr>
        <w:t>, popularizada no Brasil por Koellreutter (1978), a função de um acorde refere-se à sua característica específica e ao seu significado expressivo, determinado pela relação do acorde com outros dentro de uma estrutura harmônica.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A relação dos acordes com a tônica </w:t>
      </w:r>
      <w:r w:rsidR="000B5AF4">
        <w:rPr>
          <w:rFonts w:ascii="Times New Roman" w:hAnsi="Times New Roman" w:cs="Times New Roman"/>
          <w:sz w:val="24"/>
          <w:szCs w:val="24"/>
        </w:rPr>
        <w:t>define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 a tonalidade, de</w:t>
      </w:r>
      <w:r w:rsidR="000B5AF4">
        <w:rPr>
          <w:rFonts w:ascii="Times New Roman" w:hAnsi="Times New Roman" w:cs="Times New Roman"/>
          <w:sz w:val="24"/>
          <w:szCs w:val="24"/>
        </w:rPr>
        <w:t>terminada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 pelas funções dos acordes de tônica, subdominante e dominante. Schoenberg, em </w:t>
      </w:r>
      <w:r w:rsidR="001F793A" w:rsidRPr="007779F0">
        <w:rPr>
          <w:rFonts w:ascii="Times New Roman" w:hAnsi="Times New Roman" w:cs="Times New Roman"/>
          <w:sz w:val="24"/>
          <w:szCs w:val="24"/>
        </w:rPr>
        <w:t xml:space="preserve">seu livro </w:t>
      </w:r>
      <w:r w:rsidR="004D21F7" w:rsidRPr="007779F0">
        <w:rPr>
          <w:rFonts w:ascii="Times New Roman" w:hAnsi="Times New Roman" w:cs="Times New Roman"/>
          <w:i/>
          <w:iCs/>
          <w:sz w:val="24"/>
          <w:szCs w:val="24"/>
        </w:rPr>
        <w:t>Harmonia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 (1999), argumenta que o termo </w:t>
      </w:r>
      <w:r w:rsidR="001F793A" w:rsidRPr="007779F0">
        <w:rPr>
          <w:rFonts w:ascii="Times New Roman" w:hAnsi="Times New Roman" w:cs="Times New Roman"/>
          <w:sz w:val="24"/>
          <w:szCs w:val="24"/>
        </w:rPr>
        <w:t>“</w:t>
      </w:r>
      <w:r w:rsidR="004D21F7" w:rsidRPr="007779F0">
        <w:rPr>
          <w:rFonts w:ascii="Times New Roman" w:hAnsi="Times New Roman" w:cs="Times New Roman"/>
          <w:sz w:val="24"/>
          <w:szCs w:val="24"/>
        </w:rPr>
        <w:t>dominante</w:t>
      </w:r>
      <w:r w:rsidR="001F793A" w:rsidRPr="007779F0">
        <w:rPr>
          <w:rFonts w:ascii="Times New Roman" w:hAnsi="Times New Roman" w:cs="Times New Roman"/>
          <w:sz w:val="24"/>
          <w:szCs w:val="24"/>
        </w:rPr>
        <w:t>”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9C1C30" w:rsidRPr="007779F0">
        <w:rPr>
          <w:rFonts w:ascii="Times New Roman" w:hAnsi="Times New Roman" w:cs="Times New Roman"/>
          <w:sz w:val="24"/>
          <w:szCs w:val="24"/>
        </w:rPr>
        <w:t xml:space="preserve">usado 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para o acorde de V é inadequado, pois sugere que o V domina a tonalidade, quando na verdade ele é subordinado à tônica (I). </w:t>
      </w:r>
      <w:r w:rsidR="009C1C30" w:rsidRPr="007779F0">
        <w:rPr>
          <w:rFonts w:ascii="Times New Roman" w:hAnsi="Times New Roman" w:cs="Times New Roman"/>
          <w:sz w:val="24"/>
          <w:szCs w:val="24"/>
        </w:rPr>
        <w:t>Ainda assim, o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 acorde de V é crucial para caracterizar a tonalidade devido à resolução da sensível na tônica, uma ideia reforçada por vários manuais de harmonia. Nas escalas menor harmônica e melódica, a sensível é introduzida </w:t>
      </w:r>
      <w:r w:rsidR="00114DB3" w:rsidRPr="007779F0">
        <w:rPr>
          <w:rFonts w:ascii="Times New Roman" w:hAnsi="Times New Roman" w:cs="Times New Roman"/>
          <w:sz w:val="24"/>
          <w:szCs w:val="24"/>
        </w:rPr>
        <w:t xml:space="preserve">justamente </w:t>
      </w:r>
      <w:r w:rsidR="004D21F7" w:rsidRPr="007779F0">
        <w:rPr>
          <w:rFonts w:ascii="Times New Roman" w:hAnsi="Times New Roman" w:cs="Times New Roman"/>
          <w:sz w:val="24"/>
          <w:szCs w:val="24"/>
        </w:rPr>
        <w:t xml:space="preserve">para manter a característica da harmonia tonal. </w:t>
      </w:r>
      <w:r w:rsidR="00AF6BE7" w:rsidRPr="007779F0">
        <w:rPr>
          <w:rFonts w:ascii="Times New Roman" w:hAnsi="Times New Roman" w:cs="Times New Roman"/>
          <w:sz w:val="24"/>
          <w:szCs w:val="24"/>
        </w:rPr>
        <w:t xml:space="preserve">De fato, já nas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práticas modais da renascença, era comum que os modos dórico,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mixolídio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e eólio utilizassem alterações cromáticas (</w:t>
      </w:r>
      <w:proofErr w:type="gramStart"/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>musica</w:t>
      </w:r>
      <w:proofErr w:type="gramEnd"/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 ficta</w:t>
      </w:r>
      <w:r w:rsidR="00A76689" w:rsidRPr="007779F0">
        <w:rPr>
          <w:rFonts w:ascii="Times New Roman" w:hAnsi="Times New Roman" w:cs="Times New Roman"/>
          <w:sz w:val="24"/>
          <w:szCs w:val="24"/>
        </w:rPr>
        <w:t>) nas cadências para introduzir a sensível (OWEN, 1992, p. 30-31). Essa alteração</w:t>
      </w:r>
      <w:r w:rsidR="00734EFF" w:rsidRPr="007779F0">
        <w:rPr>
          <w:rFonts w:ascii="Times New Roman" w:hAnsi="Times New Roman" w:cs="Times New Roman"/>
          <w:sz w:val="24"/>
          <w:szCs w:val="24"/>
        </w:rPr>
        <w:t xml:space="preserve"> tinha o objetivo de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aumenta</w:t>
      </w:r>
      <w:r w:rsidR="00734EFF" w:rsidRPr="007779F0">
        <w:rPr>
          <w:rFonts w:ascii="Times New Roman" w:hAnsi="Times New Roman" w:cs="Times New Roman"/>
          <w:sz w:val="24"/>
          <w:szCs w:val="24"/>
        </w:rPr>
        <w:t>r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a sensação de conclusão na </w:t>
      </w:r>
      <w:proofErr w:type="spellStart"/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>finalis</w:t>
      </w:r>
      <w:proofErr w:type="spellEnd"/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689" w:rsidRPr="007779F0">
        <w:rPr>
          <w:rFonts w:ascii="Times New Roman" w:hAnsi="Times New Roman" w:cs="Times New Roman"/>
          <w:sz w:val="24"/>
          <w:szCs w:val="24"/>
        </w:rPr>
        <w:t>do modo,</w:t>
      </w:r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6689" w:rsidRPr="007779F0">
        <w:rPr>
          <w:rFonts w:ascii="Times New Roman" w:hAnsi="Times New Roman" w:cs="Times New Roman"/>
          <w:sz w:val="24"/>
          <w:szCs w:val="24"/>
        </w:rPr>
        <w:t>o que pode ser entendido como um primeiro traço característico da harmonia tonal</w:t>
      </w:r>
      <w:r w:rsidR="00AF6BE7" w:rsidRPr="007779F0">
        <w:rPr>
          <w:rFonts w:ascii="Times New Roman" w:hAnsi="Times New Roman" w:cs="Times New Roman"/>
          <w:sz w:val="24"/>
          <w:szCs w:val="24"/>
        </w:rPr>
        <w:t xml:space="preserve">.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Harmonicamente, a sensível </w:t>
      </w:r>
      <w:r w:rsidR="00B56CDD" w:rsidRPr="007779F0">
        <w:rPr>
          <w:rFonts w:ascii="Times New Roman" w:hAnsi="Times New Roman" w:cs="Times New Roman"/>
          <w:sz w:val="24"/>
          <w:szCs w:val="24"/>
        </w:rPr>
        <w:t xml:space="preserve">também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é uma das notas que formam 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, cuja resolução caracteriza o movimento basilar da harmonia tonal. </w:t>
      </w:r>
      <w:r w:rsidR="00734EFF" w:rsidRPr="007779F0">
        <w:rPr>
          <w:rFonts w:ascii="Times New Roman" w:hAnsi="Times New Roman" w:cs="Times New Roman"/>
          <w:sz w:val="24"/>
          <w:szCs w:val="24"/>
        </w:rPr>
        <w:t xml:space="preserve">Tanto a sensível quanto o </w:t>
      </w:r>
      <w:proofErr w:type="spellStart"/>
      <w:r w:rsidR="00734EFF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734EFF" w:rsidRPr="007779F0">
        <w:rPr>
          <w:rFonts w:ascii="Times New Roman" w:hAnsi="Times New Roman" w:cs="Times New Roman"/>
          <w:sz w:val="24"/>
          <w:szCs w:val="24"/>
        </w:rPr>
        <w:t xml:space="preserve"> estão presentes no acorde do V, que possui função dominante.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A resolução tradicional do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ocorre por movimento contrário,</w:t>
      </w:r>
      <w:r w:rsidR="00552FAA" w:rsidRPr="007779F0">
        <w:rPr>
          <w:rFonts w:ascii="Times New Roman" w:hAnsi="Times New Roman" w:cs="Times New Roman"/>
          <w:sz w:val="24"/>
          <w:szCs w:val="24"/>
        </w:rPr>
        <w:t xml:space="preserve"> com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a sensível s</w:t>
      </w:r>
      <w:r w:rsidR="00552FAA" w:rsidRPr="007779F0">
        <w:rPr>
          <w:rFonts w:ascii="Times New Roman" w:hAnsi="Times New Roman" w:cs="Times New Roman"/>
          <w:sz w:val="24"/>
          <w:szCs w:val="24"/>
        </w:rPr>
        <w:t xml:space="preserve">ubindo </w:t>
      </w:r>
      <w:r w:rsidR="00A76689" w:rsidRPr="007779F0">
        <w:rPr>
          <w:rFonts w:ascii="Times New Roman" w:hAnsi="Times New Roman" w:cs="Times New Roman"/>
          <w:sz w:val="24"/>
          <w:szCs w:val="24"/>
        </w:rPr>
        <w:t>à tônica e a quarta desce</w:t>
      </w:r>
      <w:r w:rsidR="00552FAA" w:rsidRPr="007779F0">
        <w:rPr>
          <w:rFonts w:ascii="Times New Roman" w:hAnsi="Times New Roman" w:cs="Times New Roman"/>
          <w:sz w:val="24"/>
          <w:szCs w:val="24"/>
        </w:rPr>
        <w:t>ndo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à terça. </w:t>
      </w:r>
      <w:r w:rsidR="00675C65" w:rsidRPr="007779F0">
        <w:rPr>
          <w:rFonts w:ascii="Times New Roman" w:hAnsi="Times New Roman" w:cs="Times New Roman"/>
          <w:sz w:val="24"/>
          <w:szCs w:val="24"/>
        </w:rPr>
        <w:t>E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sse movimento é caracterizado pela resolução de uma dissonância (o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) em uma consonância (terça ou sexta) a partir de um movimento parcimonioso (grau conjunto). Tendo este princípio norteador, </w:t>
      </w:r>
      <w:r w:rsidR="00B56CDD" w:rsidRPr="007779F0">
        <w:rPr>
          <w:rFonts w:ascii="Times New Roman" w:hAnsi="Times New Roman" w:cs="Times New Roman"/>
          <w:sz w:val="24"/>
          <w:szCs w:val="24"/>
        </w:rPr>
        <w:t xml:space="preserve">o presente trabalho busca </w:t>
      </w:r>
      <w:r w:rsidR="000B0FD8" w:rsidRPr="007779F0">
        <w:rPr>
          <w:rFonts w:ascii="Times New Roman" w:hAnsi="Times New Roman" w:cs="Times New Roman"/>
          <w:sz w:val="24"/>
          <w:szCs w:val="24"/>
        </w:rPr>
        <w:t xml:space="preserve">expandir os acordes dominantes a partir </w:t>
      </w:r>
      <w:r w:rsidR="00AB610C" w:rsidRPr="007779F0">
        <w:rPr>
          <w:rFonts w:ascii="Times New Roman" w:hAnsi="Times New Roman" w:cs="Times New Roman"/>
          <w:sz w:val="24"/>
          <w:szCs w:val="24"/>
        </w:rPr>
        <w:t xml:space="preserve">das diferentes maneiras de resolução do </w:t>
      </w:r>
      <w:proofErr w:type="spellStart"/>
      <w:r w:rsidR="00AB610C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B610C" w:rsidRPr="007779F0">
        <w:rPr>
          <w:rFonts w:ascii="Times New Roman" w:hAnsi="Times New Roman" w:cs="Times New Roman"/>
          <w:sz w:val="24"/>
          <w:szCs w:val="24"/>
        </w:rPr>
        <w:t xml:space="preserve">. A Figura </w:t>
      </w:r>
      <w:r w:rsidR="008842E8" w:rsidRPr="007779F0">
        <w:rPr>
          <w:rFonts w:ascii="Times New Roman" w:hAnsi="Times New Roman" w:cs="Times New Roman"/>
          <w:sz w:val="24"/>
          <w:szCs w:val="24"/>
        </w:rPr>
        <w:t>1</w:t>
      </w:r>
      <w:r w:rsidR="00AB610C" w:rsidRPr="007779F0">
        <w:rPr>
          <w:rFonts w:ascii="Times New Roman" w:hAnsi="Times New Roman" w:cs="Times New Roman"/>
          <w:sz w:val="24"/>
          <w:szCs w:val="24"/>
        </w:rPr>
        <w:t xml:space="preserve"> mostra a taxonomia exaustiva das resoluções do </w:t>
      </w:r>
      <w:proofErr w:type="spellStart"/>
      <w:r w:rsidR="00AB610C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B610C" w:rsidRPr="007779F0">
        <w:rPr>
          <w:rFonts w:ascii="Times New Roman" w:hAnsi="Times New Roman" w:cs="Times New Roman"/>
          <w:sz w:val="24"/>
          <w:szCs w:val="24"/>
        </w:rPr>
        <w:t>, considerando os movimentos contrário, direto e oblíquo.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4D1D3E" w:rsidRPr="007779F0">
        <w:rPr>
          <w:rFonts w:ascii="Times New Roman" w:hAnsi="Times New Roman" w:cs="Times New Roman"/>
          <w:sz w:val="24"/>
          <w:szCs w:val="24"/>
        </w:rPr>
        <w:t>Ao transpor</w:t>
      </w:r>
      <w:r w:rsidR="00C37965" w:rsidRPr="007779F0">
        <w:rPr>
          <w:rFonts w:ascii="Times New Roman" w:hAnsi="Times New Roman" w:cs="Times New Roman"/>
          <w:sz w:val="24"/>
          <w:szCs w:val="24"/>
        </w:rPr>
        <w:t xml:space="preserve"> as notas de resolução do </w:t>
      </w:r>
      <w:proofErr w:type="spellStart"/>
      <w:r w:rsidR="00C37965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C37965" w:rsidRPr="007779F0">
        <w:rPr>
          <w:rFonts w:ascii="Times New Roman" w:hAnsi="Times New Roman" w:cs="Times New Roman"/>
          <w:sz w:val="24"/>
          <w:szCs w:val="24"/>
        </w:rPr>
        <w:t xml:space="preserve"> de </w:t>
      </w:r>
      <w:r w:rsidR="00707406" w:rsidRPr="007779F0">
        <w:rPr>
          <w:rFonts w:ascii="Times New Roman" w:hAnsi="Times New Roman" w:cs="Times New Roman"/>
          <w:sz w:val="24"/>
          <w:szCs w:val="24"/>
        </w:rPr>
        <w:t xml:space="preserve">tal forma que </w:t>
      </w:r>
      <w:r w:rsidR="00894C0B" w:rsidRPr="007779F0">
        <w:rPr>
          <w:rFonts w:ascii="Times New Roman" w:hAnsi="Times New Roman" w:cs="Times New Roman"/>
          <w:sz w:val="24"/>
          <w:szCs w:val="24"/>
        </w:rPr>
        <w:t xml:space="preserve">façam parte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de um </w:t>
      </w:r>
      <w:r w:rsidR="00A76689" w:rsidRPr="007779F0">
        <w:rPr>
          <w:rFonts w:ascii="Times New Roman" w:hAnsi="Times New Roman" w:cs="Times New Roman"/>
          <w:sz w:val="24"/>
          <w:szCs w:val="24"/>
        </w:rPr>
        <w:lastRenderedPageBreak/>
        <w:t xml:space="preserve">mesmo acorde, </w:t>
      </w:r>
      <w:r w:rsidR="004D1D3E" w:rsidRPr="007779F0">
        <w:rPr>
          <w:rFonts w:ascii="Times New Roman" w:hAnsi="Times New Roman" w:cs="Times New Roman"/>
          <w:sz w:val="24"/>
          <w:szCs w:val="24"/>
        </w:rPr>
        <w:t>observa</w:t>
      </w:r>
      <w:r w:rsidR="00C37965" w:rsidRPr="007779F0">
        <w:rPr>
          <w:rFonts w:ascii="Times New Roman" w:hAnsi="Times New Roman" w:cs="Times New Roman"/>
          <w:sz w:val="24"/>
          <w:szCs w:val="24"/>
        </w:rPr>
        <w:t>mos</w:t>
      </w:r>
      <w:r w:rsidR="004D1D3E" w:rsidRPr="007779F0">
        <w:rPr>
          <w:rFonts w:ascii="Times New Roman" w:hAnsi="Times New Roman" w:cs="Times New Roman"/>
          <w:sz w:val="24"/>
          <w:szCs w:val="24"/>
        </w:rPr>
        <w:t xml:space="preserve"> que 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todos os seis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trítonos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podem resolver em um mesmo acorde. </w:t>
      </w:r>
      <w:r w:rsidR="00C37965" w:rsidRPr="007779F0">
        <w:rPr>
          <w:rFonts w:ascii="Times New Roman" w:hAnsi="Times New Roman" w:cs="Times New Roman"/>
          <w:sz w:val="24"/>
          <w:szCs w:val="24"/>
        </w:rPr>
        <w:t xml:space="preserve">Em outras palavras, qualquer acorde </w:t>
      </w:r>
      <w:r w:rsidR="00A76689" w:rsidRPr="007779F0">
        <w:rPr>
          <w:rFonts w:ascii="Times New Roman" w:hAnsi="Times New Roman" w:cs="Times New Roman"/>
          <w:sz w:val="24"/>
          <w:szCs w:val="24"/>
        </w:rPr>
        <w:t>de qualidade dominante (V7</w:t>
      </w:r>
      <w:r w:rsidR="007028B4" w:rsidRPr="007779F0">
        <w:rPr>
          <w:rFonts w:ascii="Times New Roman" w:hAnsi="Times New Roman" w:cs="Times New Roman"/>
          <w:sz w:val="24"/>
          <w:szCs w:val="24"/>
        </w:rPr>
        <w:t>,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SubV7</w:t>
      </w:r>
      <w:r w:rsidR="007028B4" w:rsidRPr="007779F0">
        <w:rPr>
          <w:rFonts w:ascii="Times New Roman" w:hAnsi="Times New Roman" w:cs="Times New Roman"/>
          <w:sz w:val="24"/>
          <w:szCs w:val="24"/>
        </w:rPr>
        <w:t>, VII ou VIIº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) pode ser usado para preparar </w:t>
      </w:r>
      <w:r w:rsidR="00C9591A" w:rsidRPr="007779F0">
        <w:rPr>
          <w:rFonts w:ascii="Times New Roman" w:hAnsi="Times New Roman" w:cs="Times New Roman"/>
          <w:sz w:val="24"/>
          <w:szCs w:val="24"/>
        </w:rPr>
        <w:t>qualquer acorde maior ou menor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. Para categorizar </w:t>
      </w:r>
      <w:r w:rsidR="004D1D3E" w:rsidRPr="007779F0">
        <w:rPr>
          <w:rFonts w:ascii="Times New Roman" w:hAnsi="Times New Roman" w:cs="Times New Roman"/>
          <w:sz w:val="24"/>
          <w:szCs w:val="24"/>
        </w:rPr>
        <w:t>esse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s acordes que não possuem 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principal da tonalidade do acorde de resolução, consideramos duas perspectivas: a) o princípio de resolução deceptiva e b) a expansão do uso dos acordes de sexta aumentada.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Piston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(</w:t>
      </w:r>
      <w:r w:rsidR="00C067D0" w:rsidRPr="007779F0">
        <w:rPr>
          <w:rFonts w:ascii="Times New Roman" w:hAnsi="Times New Roman" w:cs="Times New Roman"/>
          <w:sz w:val="24"/>
          <w:szCs w:val="24"/>
        </w:rPr>
        <w:t>19</w:t>
      </w:r>
      <w:r w:rsidR="00B93464" w:rsidRPr="007779F0">
        <w:rPr>
          <w:rFonts w:ascii="Times New Roman" w:hAnsi="Times New Roman" w:cs="Times New Roman"/>
          <w:sz w:val="24"/>
          <w:szCs w:val="24"/>
        </w:rPr>
        <w:t>59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, p. 132) define a cadência </w:t>
      </w:r>
      <w:r w:rsidR="00C9591A" w:rsidRPr="007779F0">
        <w:rPr>
          <w:rFonts w:ascii="Times New Roman" w:hAnsi="Times New Roman" w:cs="Times New Roman"/>
          <w:sz w:val="24"/>
          <w:szCs w:val="24"/>
        </w:rPr>
        <w:t>deceptiva</w:t>
      </w:r>
      <w:r w:rsidR="00327C6B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A76689" w:rsidRPr="007779F0">
        <w:rPr>
          <w:rFonts w:ascii="Times New Roman" w:hAnsi="Times New Roman" w:cs="Times New Roman"/>
          <w:sz w:val="24"/>
          <w:szCs w:val="24"/>
        </w:rPr>
        <w:t>como “semelhante à cadência autêntica, exceto que algum outro acorde é substituído pela tônica final” e completa que muitos acordes poderão ser usados nessa substituição, “alguns são mais “deceptivos” que outros</w:t>
      </w:r>
      <w:r w:rsidR="00A76689" w:rsidRPr="007779F0">
        <w:t xml:space="preserve"> e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alguns parecerão exagerados”. Dependendo do acorde que substitui o I na cadência, a resolução do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a ser considerada será diferente. </w:t>
      </w:r>
      <w:r w:rsidR="00EE0DF1" w:rsidRPr="007779F0">
        <w:rPr>
          <w:rFonts w:ascii="Times New Roman" w:hAnsi="Times New Roman" w:cs="Times New Roman"/>
          <w:sz w:val="24"/>
          <w:szCs w:val="24"/>
        </w:rPr>
        <w:t>Em u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ma progressão V7-VI, por exemplo, o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resolve da forma tradicional</w:t>
      </w:r>
      <w:r w:rsidR="00E45003">
        <w:rPr>
          <w:rFonts w:ascii="Times New Roman" w:hAnsi="Times New Roman" w:cs="Times New Roman"/>
          <w:sz w:val="24"/>
          <w:szCs w:val="24"/>
        </w:rPr>
        <w:t>,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já que ambas as notas estão no acorde de VI. Já em uma progressão V7-IV ou V7-III, o único movimento parcimonioso possível é o oblíquo (Figura </w:t>
      </w:r>
      <w:r w:rsidR="00355D26" w:rsidRPr="007779F0">
        <w:rPr>
          <w:rFonts w:ascii="Times New Roman" w:hAnsi="Times New Roman" w:cs="Times New Roman"/>
          <w:sz w:val="24"/>
          <w:szCs w:val="24"/>
        </w:rPr>
        <w:t>2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). </w:t>
      </w:r>
      <w:r w:rsidR="00C13C55" w:rsidRPr="007779F0">
        <w:rPr>
          <w:rFonts w:ascii="Times New Roman" w:hAnsi="Times New Roman" w:cs="Times New Roman"/>
          <w:sz w:val="24"/>
          <w:szCs w:val="24"/>
        </w:rPr>
        <w:t xml:space="preserve">Em ambos os exemplos, o foco é o acorde de resolução; a dominante é mantida e o acorde de resolução é alterado. Mudando o foco, podemos manter o acorde de I e alterar a dominante para obter o mesmo efeito deceptivo. Primeiramente, consideramos acordes que compartilham a mesma função tonal do acorde de resolução, o que nos leva a explorar os acordes que preparam mediantes diatônicas e cromáticas (Figura </w:t>
      </w:r>
      <w:r w:rsidR="00C51B98" w:rsidRPr="007779F0">
        <w:rPr>
          <w:rFonts w:ascii="Times New Roman" w:hAnsi="Times New Roman" w:cs="Times New Roman"/>
          <w:sz w:val="24"/>
          <w:szCs w:val="24"/>
        </w:rPr>
        <w:t>3</w:t>
      </w:r>
      <w:r w:rsidR="00C13C55" w:rsidRPr="007779F0">
        <w:rPr>
          <w:rFonts w:ascii="Times New Roman" w:hAnsi="Times New Roman" w:cs="Times New Roman"/>
          <w:sz w:val="24"/>
          <w:szCs w:val="24"/>
        </w:rPr>
        <w:t>).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Por exemplo, podemos utilizar um dominante secundário para o VI (V7/VI), por exemplo, que </w:t>
      </w:r>
      <w:r w:rsidR="00E45003">
        <w:rPr>
          <w:rFonts w:ascii="Times New Roman" w:hAnsi="Times New Roman" w:cs="Times New Roman"/>
          <w:sz w:val="24"/>
          <w:szCs w:val="24"/>
        </w:rPr>
        <w:t xml:space="preserve">possui </w:t>
      </w:r>
      <w:r w:rsidR="00A76689" w:rsidRPr="007779F0">
        <w:rPr>
          <w:rFonts w:ascii="Times New Roman" w:hAnsi="Times New Roman" w:cs="Times New Roman"/>
          <w:sz w:val="24"/>
          <w:szCs w:val="24"/>
        </w:rPr>
        <w:t>também função tônica, mas resolver no I, criando um efeito deceptivo. O mesmo pode ser feito com o V/III ou o V/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bVI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. Esses acordes configuram o que chamamos de </w:t>
      </w:r>
      <w:r w:rsidR="00A76689" w:rsidRPr="007779F0">
        <w:rPr>
          <w:rFonts w:ascii="Times New Roman" w:hAnsi="Times New Roman" w:cs="Times New Roman"/>
          <w:i/>
          <w:iCs/>
          <w:sz w:val="24"/>
          <w:szCs w:val="24"/>
        </w:rPr>
        <w:t>dominantes indiretos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, já que se </w:t>
      </w:r>
      <w:proofErr w:type="gramStart"/>
      <w:r w:rsidR="00A76689" w:rsidRPr="007779F0">
        <w:rPr>
          <w:rFonts w:ascii="Times New Roman" w:hAnsi="Times New Roman" w:cs="Times New Roman"/>
          <w:sz w:val="24"/>
          <w:szCs w:val="24"/>
        </w:rPr>
        <w:t>tratam</w:t>
      </w:r>
      <w:proofErr w:type="gram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de preparações indiretas definidas por relação de mediante. A Figura </w:t>
      </w:r>
      <w:r w:rsidR="002A3CA1" w:rsidRPr="007779F0">
        <w:rPr>
          <w:rFonts w:ascii="Times New Roman" w:hAnsi="Times New Roman" w:cs="Times New Roman"/>
          <w:sz w:val="24"/>
          <w:szCs w:val="24"/>
        </w:rPr>
        <w:t>4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mostra a</w:t>
      </w:r>
      <w:r w:rsidR="002A3CA1" w:rsidRPr="007779F0">
        <w:rPr>
          <w:rFonts w:ascii="Times New Roman" w:hAnsi="Times New Roman" w:cs="Times New Roman"/>
          <w:sz w:val="24"/>
          <w:szCs w:val="24"/>
        </w:rPr>
        <w:t>s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resoluç</w:t>
      </w:r>
      <w:r w:rsidR="002A3CA1" w:rsidRPr="007779F0">
        <w:rPr>
          <w:rFonts w:ascii="Times New Roman" w:hAnsi="Times New Roman" w:cs="Times New Roman"/>
          <w:sz w:val="24"/>
          <w:szCs w:val="24"/>
        </w:rPr>
        <w:t>ões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d</w:t>
      </w:r>
      <w:r w:rsidR="002A3CA1" w:rsidRPr="007779F0">
        <w:rPr>
          <w:rFonts w:ascii="Times New Roman" w:hAnsi="Times New Roman" w:cs="Times New Roman"/>
          <w:sz w:val="24"/>
          <w:szCs w:val="24"/>
        </w:rPr>
        <w:t>e</w:t>
      </w:r>
      <w:r w:rsidR="00A76689" w:rsidRPr="0077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8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A76689" w:rsidRPr="007779F0">
        <w:rPr>
          <w:rFonts w:ascii="Times New Roman" w:hAnsi="Times New Roman" w:cs="Times New Roman"/>
          <w:sz w:val="24"/>
          <w:szCs w:val="24"/>
        </w:rPr>
        <w:t xml:space="preserve"> dos dominantes indiretos. 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Na canção </w:t>
      </w:r>
      <w:proofErr w:type="spellStart"/>
      <w:r w:rsidR="006A18CB" w:rsidRPr="007779F0">
        <w:rPr>
          <w:rFonts w:ascii="Times New Roman" w:hAnsi="Times New Roman" w:cs="Times New Roman"/>
          <w:i/>
          <w:iCs/>
          <w:sz w:val="24"/>
          <w:szCs w:val="24"/>
        </w:rPr>
        <w:t>Wave</w:t>
      </w:r>
      <w:proofErr w:type="spellEnd"/>
      <w:r w:rsidR="006A18CB" w:rsidRPr="007779F0">
        <w:rPr>
          <w:rFonts w:ascii="Times New Roman" w:hAnsi="Times New Roman" w:cs="Times New Roman"/>
          <w:sz w:val="24"/>
          <w:szCs w:val="24"/>
        </w:rPr>
        <w:t xml:space="preserve">, por exemplo, Tom Jobim utiliza o que poderia ser entendido como um dominante indireto para Xm. A preparação incluí ainda uma espécie de </w:t>
      </w:r>
      <w:r w:rsidR="006A18CB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subdominante </w:t>
      </w:r>
      <w:proofErr w:type="spellStart"/>
      <w:r w:rsidR="006A18CB" w:rsidRPr="007779F0">
        <w:rPr>
          <w:rFonts w:ascii="Times New Roman" w:hAnsi="Times New Roman" w:cs="Times New Roman"/>
          <w:i/>
          <w:iCs/>
          <w:sz w:val="24"/>
          <w:szCs w:val="24"/>
        </w:rPr>
        <w:t>cadencial</w:t>
      </w:r>
      <w:proofErr w:type="spellEnd"/>
      <w:r w:rsidR="006A18CB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 indireta 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que aumenta a força deceptiva (Figura </w:t>
      </w:r>
      <w:r w:rsidR="00B81DA4" w:rsidRPr="007779F0">
        <w:rPr>
          <w:rFonts w:ascii="Times New Roman" w:hAnsi="Times New Roman" w:cs="Times New Roman"/>
          <w:sz w:val="24"/>
          <w:szCs w:val="24"/>
        </w:rPr>
        <w:t>5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). A melodia ainda permitiria utilizar tanto a preparação direta para o </w:t>
      </w:r>
      <w:r w:rsidR="00B81DA4" w:rsidRPr="007779F0">
        <w:rPr>
          <w:rFonts w:ascii="Times New Roman" w:hAnsi="Times New Roman" w:cs="Times New Roman"/>
          <w:sz w:val="24"/>
          <w:szCs w:val="24"/>
        </w:rPr>
        <w:t>A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m7, quanto </w:t>
      </w:r>
      <w:r w:rsidR="00FF5317" w:rsidRPr="007779F0">
        <w:rPr>
          <w:rFonts w:ascii="Times New Roman" w:hAnsi="Times New Roman" w:cs="Times New Roman"/>
          <w:sz w:val="24"/>
          <w:szCs w:val="24"/>
        </w:rPr>
        <w:t>utilizar o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EB6688" w:rsidRPr="007779F0">
        <w:rPr>
          <w:rFonts w:ascii="Times New Roman" w:hAnsi="Times New Roman" w:cs="Times New Roman"/>
          <w:sz w:val="24"/>
          <w:szCs w:val="24"/>
        </w:rPr>
        <w:t>F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7M para realizar uma progressão com resolução direta, mas essa não foi a escolha composicional adotada. A Figura </w:t>
      </w:r>
      <w:r w:rsidR="00EB6688" w:rsidRPr="007779F0">
        <w:rPr>
          <w:rFonts w:ascii="Times New Roman" w:hAnsi="Times New Roman" w:cs="Times New Roman"/>
          <w:sz w:val="24"/>
          <w:szCs w:val="24"/>
        </w:rPr>
        <w:t>6</w:t>
      </w:r>
      <w:r w:rsidR="006A18CB" w:rsidRPr="007779F0">
        <w:rPr>
          <w:rFonts w:ascii="Times New Roman" w:hAnsi="Times New Roman" w:cs="Times New Roman"/>
          <w:sz w:val="24"/>
          <w:szCs w:val="24"/>
        </w:rPr>
        <w:t xml:space="preserve"> mostra outros exemplos de dominantes indiretos na harmonia popular. Interessante notar como muitas das músicas brasileiras fazem uso desse tipo de acorde, o que pode indicar uma marca estilística. 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Os acordes de sexta aumentada, </w:t>
      </w:r>
      <w:r w:rsidR="00FB52D7" w:rsidRPr="007779F0">
        <w:rPr>
          <w:rFonts w:ascii="Times New Roman" w:hAnsi="Times New Roman" w:cs="Times New Roman"/>
          <w:sz w:val="24"/>
          <w:szCs w:val="24"/>
        </w:rPr>
        <w:t xml:space="preserve">por sua vez, </w:t>
      </w:r>
      <w:r w:rsidR="003B705E" w:rsidRPr="007779F0">
        <w:rPr>
          <w:rFonts w:ascii="Times New Roman" w:hAnsi="Times New Roman" w:cs="Times New Roman"/>
          <w:sz w:val="24"/>
          <w:szCs w:val="24"/>
        </w:rPr>
        <w:t>conforme</w:t>
      </w:r>
      <w:r w:rsidR="00FB52D7" w:rsidRPr="007779F0">
        <w:rPr>
          <w:rFonts w:ascii="Times New Roman" w:hAnsi="Times New Roman" w:cs="Times New Roman"/>
          <w:sz w:val="24"/>
          <w:szCs w:val="24"/>
        </w:rPr>
        <w:t xml:space="preserve"> definidos por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705E" w:rsidRPr="007779F0">
        <w:rPr>
          <w:rFonts w:ascii="Times New Roman" w:hAnsi="Times New Roman" w:cs="Times New Roman"/>
          <w:sz w:val="24"/>
          <w:szCs w:val="24"/>
        </w:rPr>
        <w:t>Kostka</w:t>
      </w:r>
      <w:proofErr w:type="spellEnd"/>
      <w:r w:rsidR="00DE3148" w:rsidRPr="007779F0">
        <w:rPr>
          <w:rFonts w:ascii="Times New Roman" w:hAnsi="Times New Roman" w:cs="Times New Roman"/>
          <w:sz w:val="24"/>
          <w:szCs w:val="24"/>
        </w:rPr>
        <w:t xml:space="preserve"> e Payne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 (</w:t>
      </w:r>
      <w:r w:rsidR="00365CC9" w:rsidRPr="007779F0">
        <w:rPr>
          <w:rFonts w:ascii="Times New Roman" w:hAnsi="Times New Roman" w:cs="Times New Roman"/>
          <w:sz w:val="24"/>
          <w:szCs w:val="24"/>
        </w:rPr>
        <w:t>2018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, p. 382), preparam a dominante </w:t>
      </w:r>
      <w:r w:rsidR="00FB52D7" w:rsidRPr="007779F0">
        <w:rPr>
          <w:rFonts w:ascii="Times New Roman" w:hAnsi="Times New Roman" w:cs="Times New Roman"/>
          <w:sz w:val="24"/>
          <w:szCs w:val="24"/>
        </w:rPr>
        <w:t xml:space="preserve">e possuem um intervalo de sexta aumentada em sua construção. Esse intervalo prepara duplamente a fundamental da dominante, tanto de forma ascendente quanto de forma descendente. </w:t>
      </w:r>
      <w:r w:rsidR="00536858" w:rsidRPr="007779F0">
        <w:rPr>
          <w:rFonts w:ascii="Times New Roman" w:hAnsi="Times New Roman" w:cs="Times New Roman"/>
          <w:sz w:val="24"/>
          <w:szCs w:val="24"/>
        </w:rPr>
        <w:t xml:space="preserve">Além de preparar a fundamental da </w:t>
      </w:r>
      <w:r w:rsidR="00536858" w:rsidRPr="007779F0">
        <w:rPr>
          <w:rFonts w:ascii="Times New Roman" w:hAnsi="Times New Roman" w:cs="Times New Roman"/>
          <w:sz w:val="24"/>
          <w:szCs w:val="24"/>
        </w:rPr>
        <w:lastRenderedPageBreak/>
        <w:t>dominante, esses acordes podem também antecipar outras notas, como a terça e a quinta (</w:t>
      </w:r>
      <w:proofErr w:type="gramStart"/>
      <w:r w:rsidR="00365CC9" w:rsidRPr="007779F0">
        <w:rPr>
          <w:rFonts w:ascii="Times New Roman" w:hAnsi="Times New Roman" w:cs="Times New Roman"/>
          <w:sz w:val="24"/>
          <w:szCs w:val="24"/>
        </w:rPr>
        <w:t>KOSTKA;PAYNE</w:t>
      </w:r>
      <w:proofErr w:type="gramEnd"/>
      <w:r w:rsidR="00536858" w:rsidRPr="007779F0">
        <w:rPr>
          <w:rFonts w:ascii="Times New Roman" w:hAnsi="Times New Roman" w:cs="Times New Roman"/>
          <w:sz w:val="24"/>
          <w:szCs w:val="24"/>
        </w:rPr>
        <w:t xml:space="preserve">, </w:t>
      </w:r>
      <w:r w:rsidR="00365CC9" w:rsidRPr="007779F0">
        <w:rPr>
          <w:rFonts w:ascii="Times New Roman" w:hAnsi="Times New Roman" w:cs="Times New Roman"/>
          <w:sz w:val="24"/>
          <w:szCs w:val="24"/>
        </w:rPr>
        <w:t xml:space="preserve">2018, </w:t>
      </w:r>
      <w:r w:rsidR="00536858" w:rsidRPr="007779F0">
        <w:rPr>
          <w:rFonts w:ascii="Times New Roman" w:hAnsi="Times New Roman" w:cs="Times New Roman"/>
          <w:sz w:val="24"/>
          <w:szCs w:val="24"/>
        </w:rPr>
        <w:t xml:space="preserve">p. 389-392). </w:t>
      </w:r>
      <w:r w:rsidR="00FB52D7" w:rsidRPr="007779F0">
        <w:rPr>
          <w:rFonts w:ascii="Times New Roman" w:hAnsi="Times New Roman" w:cs="Times New Roman"/>
          <w:sz w:val="24"/>
          <w:szCs w:val="24"/>
        </w:rPr>
        <w:t xml:space="preserve">No âmbito da música popular, poderíamos incluir também uma preparação para a sétima do acorde. </w:t>
      </w:r>
      <w:r w:rsidR="00C055FB" w:rsidRPr="007779F0">
        <w:rPr>
          <w:rFonts w:ascii="Times New Roman" w:hAnsi="Times New Roman" w:cs="Times New Roman"/>
          <w:sz w:val="24"/>
          <w:szCs w:val="24"/>
        </w:rPr>
        <w:t xml:space="preserve">Uma vez que os tradicionais acordes de sexta aumentada correspondam, </w:t>
      </w:r>
      <w:proofErr w:type="spellStart"/>
      <w:r w:rsidR="00C055FB" w:rsidRPr="007779F0">
        <w:rPr>
          <w:rFonts w:ascii="Times New Roman" w:hAnsi="Times New Roman" w:cs="Times New Roman"/>
          <w:sz w:val="24"/>
          <w:szCs w:val="24"/>
        </w:rPr>
        <w:t>enarmonicamente</w:t>
      </w:r>
      <w:proofErr w:type="spellEnd"/>
      <w:r w:rsidR="00C055FB" w:rsidRPr="007779F0">
        <w:rPr>
          <w:rFonts w:ascii="Times New Roman" w:hAnsi="Times New Roman" w:cs="Times New Roman"/>
          <w:sz w:val="24"/>
          <w:szCs w:val="24"/>
        </w:rPr>
        <w:t xml:space="preserve">, a acordes de qualidade dominante e que as preparações para a terça e para a sétima menor já foram contempladas nas dominantes indiretas, podemos incluir na lista de preparações os </w:t>
      </w:r>
      <w:r w:rsidR="00C055FB" w:rsidRPr="007779F0">
        <w:rPr>
          <w:rFonts w:ascii="Times New Roman" w:hAnsi="Times New Roman" w:cs="Times New Roman"/>
          <w:i/>
          <w:iCs/>
          <w:sz w:val="24"/>
          <w:szCs w:val="24"/>
        </w:rPr>
        <w:t xml:space="preserve">dominantes parciais </w:t>
      </w:r>
      <w:r w:rsidR="00C055FB" w:rsidRPr="007779F0">
        <w:rPr>
          <w:rFonts w:ascii="Times New Roman" w:hAnsi="Times New Roman" w:cs="Times New Roman"/>
          <w:sz w:val="24"/>
          <w:szCs w:val="24"/>
        </w:rPr>
        <w:t xml:space="preserve">que preparam a quinta justa e a sétima maior dos acordes (Figura </w:t>
      </w:r>
      <w:r w:rsidR="002C06C1" w:rsidRPr="007779F0">
        <w:rPr>
          <w:rFonts w:ascii="Times New Roman" w:hAnsi="Times New Roman" w:cs="Times New Roman"/>
          <w:sz w:val="24"/>
          <w:szCs w:val="24"/>
        </w:rPr>
        <w:t>7</w:t>
      </w:r>
      <w:r w:rsidR="00C055FB" w:rsidRPr="007779F0">
        <w:rPr>
          <w:rFonts w:ascii="Times New Roman" w:hAnsi="Times New Roman" w:cs="Times New Roman"/>
          <w:sz w:val="24"/>
          <w:szCs w:val="24"/>
        </w:rPr>
        <w:t xml:space="preserve">). </w:t>
      </w:r>
      <w:r w:rsidR="003B705E" w:rsidRPr="007779F0">
        <w:rPr>
          <w:rFonts w:ascii="Times New Roman" w:hAnsi="Times New Roman" w:cs="Times New Roman"/>
          <w:sz w:val="24"/>
          <w:szCs w:val="24"/>
        </w:rPr>
        <w:t>Essa classificação</w:t>
      </w:r>
      <w:r w:rsidR="00267B03" w:rsidRPr="007779F0">
        <w:rPr>
          <w:rFonts w:ascii="Times New Roman" w:hAnsi="Times New Roman" w:cs="Times New Roman"/>
          <w:sz w:val="24"/>
          <w:szCs w:val="24"/>
        </w:rPr>
        <w:t xml:space="preserve"> de dominantes diretas, indiretas e parciais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 simplifica as dominantes extraordinárias de Bittencourt (2013</w:t>
      </w:r>
      <w:r w:rsidR="00B506BF" w:rsidRPr="007779F0">
        <w:rPr>
          <w:rFonts w:ascii="Times New Roman" w:hAnsi="Times New Roman" w:cs="Times New Roman"/>
          <w:sz w:val="24"/>
          <w:szCs w:val="24"/>
        </w:rPr>
        <w:t xml:space="preserve"> – Figura 8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). A Figura </w:t>
      </w:r>
      <w:r w:rsidR="00DC3654" w:rsidRPr="007779F0">
        <w:rPr>
          <w:rFonts w:ascii="Times New Roman" w:hAnsi="Times New Roman" w:cs="Times New Roman"/>
          <w:sz w:val="24"/>
          <w:szCs w:val="24"/>
        </w:rPr>
        <w:t xml:space="preserve">9 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exemplifica </w:t>
      </w:r>
      <w:r w:rsidR="0083736B">
        <w:rPr>
          <w:rFonts w:ascii="Times New Roman" w:hAnsi="Times New Roman" w:cs="Times New Roman"/>
          <w:sz w:val="24"/>
          <w:szCs w:val="24"/>
        </w:rPr>
        <w:t>as</w:t>
      </w:r>
      <w:r w:rsidR="003B705E" w:rsidRPr="007779F0">
        <w:rPr>
          <w:rFonts w:ascii="Times New Roman" w:hAnsi="Times New Roman" w:cs="Times New Roman"/>
          <w:sz w:val="24"/>
          <w:szCs w:val="24"/>
        </w:rPr>
        <w:t xml:space="preserve"> dominantes parciais</w:t>
      </w:r>
      <w:r w:rsidR="0083736B">
        <w:rPr>
          <w:rFonts w:ascii="Times New Roman" w:hAnsi="Times New Roman" w:cs="Times New Roman"/>
          <w:sz w:val="24"/>
          <w:szCs w:val="24"/>
        </w:rPr>
        <w:t xml:space="preserve"> no repertório</w:t>
      </w:r>
      <w:r w:rsidR="003B705E" w:rsidRPr="007779F0">
        <w:rPr>
          <w:rFonts w:ascii="Times New Roman" w:hAnsi="Times New Roman" w:cs="Times New Roman"/>
          <w:sz w:val="24"/>
          <w:szCs w:val="24"/>
        </w:rPr>
        <w:t>.</w:t>
      </w:r>
    </w:p>
    <w:p w14:paraId="634C4251" w14:textId="77777777" w:rsidR="00A76689" w:rsidRPr="007779F0" w:rsidRDefault="00A76689" w:rsidP="00A7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FA34" w14:textId="6087D7A6" w:rsidR="004963EC" w:rsidRPr="00A76689" w:rsidRDefault="00A76689" w:rsidP="004E03F9">
      <w:pPr>
        <w:spacing w:after="0" w:line="360" w:lineRule="auto"/>
        <w:jc w:val="both"/>
      </w:pPr>
      <w:r w:rsidRPr="007779F0">
        <w:rPr>
          <w:rFonts w:ascii="Times New Roman" w:hAnsi="Times New Roman" w:cs="Times New Roman"/>
          <w:sz w:val="24"/>
          <w:szCs w:val="24"/>
        </w:rPr>
        <w:t>Palavras-chave:</w:t>
      </w:r>
      <w:r w:rsidR="00900DE6" w:rsidRPr="007779F0">
        <w:rPr>
          <w:rFonts w:ascii="Times New Roman" w:hAnsi="Times New Roman" w:cs="Times New Roman"/>
          <w:sz w:val="24"/>
          <w:szCs w:val="24"/>
        </w:rPr>
        <w:t xml:space="preserve"> Função dominante</w:t>
      </w:r>
      <w:r w:rsidR="00793D0C" w:rsidRPr="007779F0">
        <w:rPr>
          <w:rFonts w:ascii="Times New Roman" w:hAnsi="Times New Roman" w:cs="Times New Roman"/>
          <w:sz w:val="24"/>
          <w:szCs w:val="24"/>
        </w:rPr>
        <w:t>.</w:t>
      </w:r>
      <w:r w:rsidR="00593B99" w:rsidRPr="0077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B99" w:rsidRPr="007779F0">
        <w:rPr>
          <w:rFonts w:ascii="Times New Roman" w:hAnsi="Times New Roman" w:cs="Times New Roman"/>
          <w:sz w:val="24"/>
          <w:szCs w:val="24"/>
        </w:rPr>
        <w:t>Trítono</w:t>
      </w:r>
      <w:proofErr w:type="spellEnd"/>
      <w:r w:rsidR="00593B99" w:rsidRPr="007779F0">
        <w:rPr>
          <w:rFonts w:ascii="Times New Roman" w:hAnsi="Times New Roman" w:cs="Times New Roman"/>
          <w:sz w:val="24"/>
          <w:szCs w:val="24"/>
        </w:rPr>
        <w:t>.</w:t>
      </w:r>
      <w:r w:rsidR="00793D0C" w:rsidRPr="007779F0">
        <w:rPr>
          <w:rFonts w:ascii="Times New Roman" w:hAnsi="Times New Roman" w:cs="Times New Roman"/>
          <w:sz w:val="24"/>
          <w:szCs w:val="24"/>
        </w:rPr>
        <w:t xml:space="preserve"> </w:t>
      </w:r>
      <w:r w:rsidR="004E03F9" w:rsidRPr="007779F0">
        <w:rPr>
          <w:rFonts w:ascii="Times New Roman" w:hAnsi="Times New Roman" w:cs="Times New Roman"/>
          <w:sz w:val="24"/>
          <w:szCs w:val="24"/>
        </w:rPr>
        <w:t>Harmonia tonal. Preparação deceptiva. Acordes de sexta aumentada.</w:t>
      </w:r>
      <w:r w:rsidR="004E03F9">
        <w:rPr>
          <w:rFonts w:ascii="Times New Roman" w:hAnsi="Times New Roman" w:cs="Times New Roman"/>
          <w:sz w:val="24"/>
          <w:szCs w:val="24"/>
        </w:rPr>
        <w:t xml:space="preserve"> </w:t>
      </w:r>
      <w:r w:rsidR="00900D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63EC" w:rsidRPr="00A76689" w:rsidSect="004963E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53702" w14:textId="77777777" w:rsidR="00732A1D" w:rsidRDefault="00732A1D" w:rsidP="00CA7FA1">
      <w:pPr>
        <w:spacing w:after="0" w:line="240" w:lineRule="auto"/>
      </w:pPr>
      <w:r>
        <w:separator/>
      </w:r>
    </w:p>
  </w:endnote>
  <w:endnote w:type="continuationSeparator" w:id="0">
    <w:p w14:paraId="37F4C98D" w14:textId="77777777" w:rsidR="00732A1D" w:rsidRDefault="00732A1D" w:rsidP="00CA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A0BF8" w14:textId="77777777" w:rsidR="00732A1D" w:rsidRDefault="00732A1D" w:rsidP="00CA7FA1">
      <w:pPr>
        <w:spacing w:after="0" w:line="240" w:lineRule="auto"/>
      </w:pPr>
      <w:r>
        <w:separator/>
      </w:r>
    </w:p>
  </w:footnote>
  <w:footnote w:type="continuationSeparator" w:id="0">
    <w:p w14:paraId="483DD0A8" w14:textId="77777777" w:rsidR="00732A1D" w:rsidRDefault="00732A1D" w:rsidP="00CA7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E04DB"/>
    <w:multiLevelType w:val="multilevel"/>
    <w:tmpl w:val="E670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1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C"/>
    <w:rsid w:val="00000406"/>
    <w:rsid w:val="00007338"/>
    <w:rsid w:val="00021E6A"/>
    <w:rsid w:val="00022169"/>
    <w:rsid w:val="0002560A"/>
    <w:rsid w:val="000257FB"/>
    <w:rsid w:val="000314C6"/>
    <w:rsid w:val="00032C1C"/>
    <w:rsid w:val="00033628"/>
    <w:rsid w:val="00055A4D"/>
    <w:rsid w:val="000672E1"/>
    <w:rsid w:val="00071A9C"/>
    <w:rsid w:val="00080254"/>
    <w:rsid w:val="00083B12"/>
    <w:rsid w:val="00093CA8"/>
    <w:rsid w:val="000944BD"/>
    <w:rsid w:val="000979EE"/>
    <w:rsid w:val="000A2ADD"/>
    <w:rsid w:val="000A3545"/>
    <w:rsid w:val="000A4426"/>
    <w:rsid w:val="000B0FD8"/>
    <w:rsid w:val="000B349B"/>
    <w:rsid w:val="000B4663"/>
    <w:rsid w:val="000B5AF4"/>
    <w:rsid w:val="000C68A6"/>
    <w:rsid w:val="000C75C8"/>
    <w:rsid w:val="000D38B1"/>
    <w:rsid w:val="000D4733"/>
    <w:rsid w:val="000D53F8"/>
    <w:rsid w:val="000E3648"/>
    <w:rsid w:val="00101A26"/>
    <w:rsid w:val="00101B3F"/>
    <w:rsid w:val="00103E02"/>
    <w:rsid w:val="00107056"/>
    <w:rsid w:val="00114DB3"/>
    <w:rsid w:val="001166B2"/>
    <w:rsid w:val="001175F4"/>
    <w:rsid w:val="00123D5F"/>
    <w:rsid w:val="00124AF9"/>
    <w:rsid w:val="00126AE9"/>
    <w:rsid w:val="0013799F"/>
    <w:rsid w:val="00142E1A"/>
    <w:rsid w:val="00143720"/>
    <w:rsid w:val="00150829"/>
    <w:rsid w:val="001512A0"/>
    <w:rsid w:val="00166809"/>
    <w:rsid w:val="00170A12"/>
    <w:rsid w:val="00171E77"/>
    <w:rsid w:val="001800B7"/>
    <w:rsid w:val="00183DE1"/>
    <w:rsid w:val="00191E16"/>
    <w:rsid w:val="0019382E"/>
    <w:rsid w:val="001941BF"/>
    <w:rsid w:val="0019674A"/>
    <w:rsid w:val="001A22B9"/>
    <w:rsid w:val="001B53DE"/>
    <w:rsid w:val="001B6C99"/>
    <w:rsid w:val="001C2405"/>
    <w:rsid w:val="001D0247"/>
    <w:rsid w:val="001E4EBA"/>
    <w:rsid w:val="001E5B24"/>
    <w:rsid w:val="001F1467"/>
    <w:rsid w:val="001F793A"/>
    <w:rsid w:val="00202CA7"/>
    <w:rsid w:val="00203337"/>
    <w:rsid w:val="002116FE"/>
    <w:rsid w:val="002222F4"/>
    <w:rsid w:val="00225615"/>
    <w:rsid w:val="00234BC0"/>
    <w:rsid w:val="00246385"/>
    <w:rsid w:val="0025018A"/>
    <w:rsid w:val="0025060A"/>
    <w:rsid w:val="00251216"/>
    <w:rsid w:val="00260046"/>
    <w:rsid w:val="00261B23"/>
    <w:rsid w:val="00267B03"/>
    <w:rsid w:val="00267CF8"/>
    <w:rsid w:val="00271583"/>
    <w:rsid w:val="00290FBE"/>
    <w:rsid w:val="002922F4"/>
    <w:rsid w:val="00294BC1"/>
    <w:rsid w:val="0029624A"/>
    <w:rsid w:val="002A2E11"/>
    <w:rsid w:val="002A3A9D"/>
    <w:rsid w:val="002A3CA1"/>
    <w:rsid w:val="002A46DD"/>
    <w:rsid w:val="002A53C3"/>
    <w:rsid w:val="002A5F60"/>
    <w:rsid w:val="002B22B5"/>
    <w:rsid w:val="002B6873"/>
    <w:rsid w:val="002C06C1"/>
    <w:rsid w:val="002C438A"/>
    <w:rsid w:val="002C6211"/>
    <w:rsid w:val="002C698F"/>
    <w:rsid w:val="002C7058"/>
    <w:rsid w:val="002D00C5"/>
    <w:rsid w:val="002D1947"/>
    <w:rsid w:val="002D2513"/>
    <w:rsid w:val="002E07F8"/>
    <w:rsid w:val="002E50C6"/>
    <w:rsid w:val="002E6C5C"/>
    <w:rsid w:val="002F0E82"/>
    <w:rsid w:val="002F360D"/>
    <w:rsid w:val="002F7D0B"/>
    <w:rsid w:val="00302468"/>
    <w:rsid w:val="00315697"/>
    <w:rsid w:val="0031718C"/>
    <w:rsid w:val="00322453"/>
    <w:rsid w:val="00325D7C"/>
    <w:rsid w:val="00327C6B"/>
    <w:rsid w:val="00333AFA"/>
    <w:rsid w:val="003404C4"/>
    <w:rsid w:val="003439DE"/>
    <w:rsid w:val="00355D26"/>
    <w:rsid w:val="00364C84"/>
    <w:rsid w:val="00365CC9"/>
    <w:rsid w:val="003674EB"/>
    <w:rsid w:val="003676EA"/>
    <w:rsid w:val="00374CBB"/>
    <w:rsid w:val="00382926"/>
    <w:rsid w:val="00383FA1"/>
    <w:rsid w:val="00386958"/>
    <w:rsid w:val="00396ADD"/>
    <w:rsid w:val="003A385A"/>
    <w:rsid w:val="003A6A22"/>
    <w:rsid w:val="003B1029"/>
    <w:rsid w:val="003B2A3D"/>
    <w:rsid w:val="003B705E"/>
    <w:rsid w:val="003D22FA"/>
    <w:rsid w:val="003E0EEA"/>
    <w:rsid w:val="003E62B4"/>
    <w:rsid w:val="003F4FC6"/>
    <w:rsid w:val="00401824"/>
    <w:rsid w:val="00412A5E"/>
    <w:rsid w:val="00416321"/>
    <w:rsid w:val="0041742D"/>
    <w:rsid w:val="00420F94"/>
    <w:rsid w:val="004247E0"/>
    <w:rsid w:val="004375FD"/>
    <w:rsid w:val="00440466"/>
    <w:rsid w:val="004509C1"/>
    <w:rsid w:val="00460E40"/>
    <w:rsid w:val="00466613"/>
    <w:rsid w:val="00472D48"/>
    <w:rsid w:val="00472DBC"/>
    <w:rsid w:val="004843F4"/>
    <w:rsid w:val="0048759A"/>
    <w:rsid w:val="00491ABB"/>
    <w:rsid w:val="004963EC"/>
    <w:rsid w:val="00496CAD"/>
    <w:rsid w:val="00497610"/>
    <w:rsid w:val="004A23FD"/>
    <w:rsid w:val="004A76B2"/>
    <w:rsid w:val="004B4B31"/>
    <w:rsid w:val="004B4E01"/>
    <w:rsid w:val="004B693B"/>
    <w:rsid w:val="004D1D3E"/>
    <w:rsid w:val="004D21F7"/>
    <w:rsid w:val="004D23E1"/>
    <w:rsid w:val="004D64B6"/>
    <w:rsid w:val="004E03F9"/>
    <w:rsid w:val="004E0607"/>
    <w:rsid w:val="005001AC"/>
    <w:rsid w:val="00502BC0"/>
    <w:rsid w:val="00511617"/>
    <w:rsid w:val="00513138"/>
    <w:rsid w:val="00517443"/>
    <w:rsid w:val="00523E9A"/>
    <w:rsid w:val="00530411"/>
    <w:rsid w:val="00534916"/>
    <w:rsid w:val="00536858"/>
    <w:rsid w:val="005479CE"/>
    <w:rsid w:val="00552FAA"/>
    <w:rsid w:val="005601E1"/>
    <w:rsid w:val="00564E5B"/>
    <w:rsid w:val="00565822"/>
    <w:rsid w:val="00566DC6"/>
    <w:rsid w:val="005679C9"/>
    <w:rsid w:val="005707EC"/>
    <w:rsid w:val="00573E71"/>
    <w:rsid w:val="0057608C"/>
    <w:rsid w:val="00593B99"/>
    <w:rsid w:val="00593CBC"/>
    <w:rsid w:val="005973D9"/>
    <w:rsid w:val="005A44EA"/>
    <w:rsid w:val="005B0548"/>
    <w:rsid w:val="005B37D1"/>
    <w:rsid w:val="005B5B92"/>
    <w:rsid w:val="005C5318"/>
    <w:rsid w:val="005D5CAA"/>
    <w:rsid w:val="005E5063"/>
    <w:rsid w:val="005F6259"/>
    <w:rsid w:val="00600672"/>
    <w:rsid w:val="00603C05"/>
    <w:rsid w:val="00613884"/>
    <w:rsid w:val="0062072D"/>
    <w:rsid w:val="006256CB"/>
    <w:rsid w:val="00626926"/>
    <w:rsid w:val="006331AD"/>
    <w:rsid w:val="006409C6"/>
    <w:rsid w:val="0067152A"/>
    <w:rsid w:val="0067490B"/>
    <w:rsid w:val="00675C65"/>
    <w:rsid w:val="00690FD0"/>
    <w:rsid w:val="00692E2E"/>
    <w:rsid w:val="00695FB4"/>
    <w:rsid w:val="006A18CB"/>
    <w:rsid w:val="006A4406"/>
    <w:rsid w:val="006B1EB2"/>
    <w:rsid w:val="006B2D5B"/>
    <w:rsid w:val="006C4706"/>
    <w:rsid w:val="006C4947"/>
    <w:rsid w:val="006D4E76"/>
    <w:rsid w:val="006D585F"/>
    <w:rsid w:val="006E00F5"/>
    <w:rsid w:val="006F1B0F"/>
    <w:rsid w:val="006F1B9E"/>
    <w:rsid w:val="007028B4"/>
    <w:rsid w:val="00707406"/>
    <w:rsid w:val="0071202B"/>
    <w:rsid w:val="007151FC"/>
    <w:rsid w:val="007167CC"/>
    <w:rsid w:val="00721877"/>
    <w:rsid w:val="00724141"/>
    <w:rsid w:val="0072724E"/>
    <w:rsid w:val="00732A1D"/>
    <w:rsid w:val="00734806"/>
    <w:rsid w:val="00734EFF"/>
    <w:rsid w:val="00736D76"/>
    <w:rsid w:val="00740D00"/>
    <w:rsid w:val="00740FB9"/>
    <w:rsid w:val="00746AF0"/>
    <w:rsid w:val="00746ECF"/>
    <w:rsid w:val="00752B20"/>
    <w:rsid w:val="007541EF"/>
    <w:rsid w:val="00765115"/>
    <w:rsid w:val="00770BA1"/>
    <w:rsid w:val="007716F0"/>
    <w:rsid w:val="007757C6"/>
    <w:rsid w:val="00776BA0"/>
    <w:rsid w:val="007779F0"/>
    <w:rsid w:val="00790BEC"/>
    <w:rsid w:val="00790CD7"/>
    <w:rsid w:val="007915A7"/>
    <w:rsid w:val="00791627"/>
    <w:rsid w:val="00793D0C"/>
    <w:rsid w:val="007B1BFC"/>
    <w:rsid w:val="007B73E3"/>
    <w:rsid w:val="007D27D4"/>
    <w:rsid w:val="007D63B5"/>
    <w:rsid w:val="007D6A60"/>
    <w:rsid w:val="007F086B"/>
    <w:rsid w:val="007F11A8"/>
    <w:rsid w:val="0081292E"/>
    <w:rsid w:val="0082081B"/>
    <w:rsid w:val="0083736B"/>
    <w:rsid w:val="00837708"/>
    <w:rsid w:val="008407D1"/>
    <w:rsid w:val="00841599"/>
    <w:rsid w:val="00842F70"/>
    <w:rsid w:val="0084565C"/>
    <w:rsid w:val="0084788E"/>
    <w:rsid w:val="008502C3"/>
    <w:rsid w:val="00852292"/>
    <w:rsid w:val="008564F4"/>
    <w:rsid w:val="00857242"/>
    <w:rsid w:val="008616AD"/>
    <w:rsid w:val="008666A9"/>
    <w:rsid w:val="00866AE9"/>
    <w:rsid w:val="00867A6A"/>
    <w:rsid w:val="00871B72"/>
    <w:rsid w:val="00881E92"/>
    <w:rsid w:val="00882AB6"/>
    <w:rsid w:val="00883F25"/>
    <w:rsid w:val="008842E8"/>
    <w:rsid w:val="008860EF"/>
    <w:rsid w:val="00893A2D"/>
    <w:rsid w:val="00894C0B"/>
    <w:rsid w:val="008A07B7"/>
    <w:rsid w:val="008A0EC0"/>
    <w:rsid w:val="008A20C5"/>
    <w:rsid w:val="008B32DC"/>
    <w:rsid w:val="008E22E4"/>
    <w:rsid w:val="008E6591"/>
    <w:rsid w:val="008F2B1A"/>
    <w:rsid w:val="008F45BA"/>
    <w:rsid w:val="008F7BA0"/>
    <w:rsid w:val="008F7BAC"/>
    <w:rsid w:val="00900DE6"/>
    <w:rsid w:val="009154A6"/>
    <w:rsid w:val="009240E1"/>
    <w:rsid w:val="00924D36"/>
    <w:rsid w:val="00940225"/>
    <w:rsid w:val="00953700"/>
    <w:rsid w:val="009630EF"/>
    <w:rsid w:val="00973747"/>
    <w:rsid w:val="00981455"/>
    <w:rsid w:val="00983D13"/>
    <w:rsid w:val="00984D0A"/>
    <w:rsid w:val="0099579D"/>
    <w:rsid w:val="009A4122"/>
    <w:rsid w:val="009A4E27"/>
    <w:rsid w:val="009A6B27"/>
    <w:rsid w:val="009B1E5E"/>
    <w:rsid w:val="009B3AFD"/>
    <w:rsid w:val="009C0DF5"/>
    <w:rsid w:val="009C1C30"/>
    <w:rsid w:val="009C1E0F"/>
    <w:rsid w:val="009E31AD"/>
    <w:rsid w:val="009F0212"/>
    <w:rsid w:val="009F1D8B"/>
    <w:rsid w:val="009F2E26"/>
    <w:rsid w:val="00A05960"/>
    <w:rsid w:val="00A06001"/>
    <w:rsid w:val="00A1282F"/>
    <w:rsid w:val="00A258FE"/>
    <w:rsid w:val="00A35530"/>
    <w:rsid w:val="00A5477B"/>
    <w:rsid w:val="00A5794D"/>
    <w:rsid w:val="00A63684"/>
    <w:rsid w:val="00A704E2"/>
    <w:rsid w:val="00A74845"/>
    <w:rsid w:val="00A76689"/>
    <w:rsid w:val="00A877F5"/>
    <w:rsid w:val="00A92E99"/>
    <w:rsid w:val="00A94572"/>
    <w:rsid w:val="00A96201"/>
    <w:rsid w:val="00AB2E5F"/>
    <w:rsid w:val="00AB610C"/>
    <w:rsid w:val="00AD165D"/>
    <w:rsid w:val="00AD2AD1"/>
    <w:rsid w:val="00AD30BD"/>
    <w:rsid w:val="00AD6FD3"/>
    <w:rsid w:val="00AE1F0F"/>
    <w:rsid w:val="00AE2BDC"/>
    <w:rsid w:val="00AE5D75"/>
    <w:rsid w:val="00AF51DC"/>
    <w:rsid w:val="00AF6BE7"/>
    <w:rsid w:val="00B04234"/>
    <w:rsid w:val="00B16AD8"/>
    <w:rsid w:val="00B16E06"/>
    <w:rsid w:val="00B34B67"/>
    <w:rsid w:val="00B4178B"/>
    <w:rsid w:val="00B43724"/>
    <w:rsid w:val="00B506BF"/>
    <w:rsid w:val="00B56CDD"/>
    <w:rsid w:val="00B61F28"/>
    <w:rsid w:val="00B64F4A"/>
    <w:rsid w:val="00B6572D"/>
    <w:rsid w:val="00B70E0C"/>
    <w:rsid w:val="00B72482"/>
    <w:rsid w:val="00B730D0"/>
    <w:rsid w:val="00B81DA4"/>
    <w:rsid w:val="00B81DA6"/>
    <w:rsid w:val="00B8796B"/>
    <w:rsid w:val="00B87BF5"/>
    <w:rsid w:val="00B93464"/>
    <w:rsid w:val="00BA46E8"/>
    <w:rsid w:val="00BB0E47"/>
    <w:rsid w:val="00BB4318"/>
    <w:rsid w:val="00BC7600"/>
    <w:rsid w:val="00BD0BDE"/>
    <w:rsid w:val="00BD7164"/>
    <w:rsid w:val="00BE1F96"/>
    <w:rsid w:val="00BE3D3D"/>
    <w:rsid w:val="00BE4ABA"/>
    <w:rsid w:val="00BE4F43"/>
    <w:rsid w:val="00BE51E4"/>
    <w:rsid w:val="00C01148"/>
    <w:rsid w:val="00C055FB"/>
    <w:rsid w:val="00C067D0"/>
    <w:rsid w:val="00C06BF5"/>
    <w:rsid w:val="00C13C55"/>
    <w:rsid w:val="00C21996"/>
    <w:rsid w:val="00C21F3C"/>
    <w:rsid w:val="00C224E8"/>
    <w:rsid w:val="00C25DE1"/>
    <w:rsid w:val="00C37965"/>
    <w:rsid w:val="00C42FEB"/>
    <w:rsid w:val="00C5017C"/>
    <w:rsid w:val="00C51846"/>
    <w:rsid w:val="00C51B98"/>
    <w:rsid w:val="00C57B9D"/>
    <w:rsid w:val="00C6007F"/>
    <w:rsid w:val="00C62C1E"/>
    <w:rsid w:val="00C7010E"/>
    <w:rsid w:val="00C85101"/>
    <w:rsid w:val="00C94899"/>
    <w:rsid w:val="00C9591A"/>
    <w:rsid w:val="00C96760"/>
    <w:rsid w:val="00C97C21"/>
    <w:rsid w:val="00CA39F8"/>
    <w:rsid w:val="00CA6104"/>
    <w:rsid w:val="00CA7FA1"/>
    <w:rsid w:val="00CB0863"/>
    <w:rsid w:val="00CB1DD6"/>
    <w:rsid w:val="00CB31CD"/>
    <w:rsid w:val="00CB58E2"/>
    <w:rsid w:val="00CC2514"/>
    <w:rsid w:val="00CC2DBC"/>
    <w:rsid w:val="00CE127E"/>
    <w:rsid w:val="00CE7D3E"/>
    <w:rsid w:val="00CF4C5D"/>
    <w:rsid w:val="00CF7ABE"/>
    <w:rsid w:val="00D01A51"/>
    <w:rsid w:val="00D07EA6"/>
    <w:rsid w:val="00D134C1"/>
    <w:rsid w:val="00D14715"/>
    <w:rsid w:val="00D27A1E"/>
    <w:rsid w:val="00D30009"/>
    <w:rsid w:val="00D304CC"/>
    <w:rsid w:val="00D34B6E"/>
    <w:rsid w:val="00D3583F"/>
    <w:rsid w:val="00D46AE5"/>
    <w:rsid w:val="00D54DC3"/>
    <w:rsid w:val="00D56737"/>
    <w:rsid w:val="00D63126"/>
    <w:rsid w:val="00D656BA"/>
    <w:rsid w:val="00D66337"/>
    <w:rsid w:val="00D72BBE"/>
    <w:rsid w:val="00D73EE1"/>
    <w:rsid w:val="00D74429"/>
    <w:rsid w:val="00D76537"/>
    <w:rsid w:val="00D9092B"/>
    <w:rsid w:val="00D91847"/>
    <w:rsid w:val="00D97948"/>
    <w:rsid w:val="00DA43DE"/>
    <w:rsid w:val="00DA5D03"/>
    <w:rsid w:val="00DB5F06"/>
    <w:rsid w:val="00DC1BFD"/>
    <w:rsid w:val="00DC3654"/>
    <w:rsid w:val="00DC4A1C"/>
    <w:rsid w:val="00DC4D47"/>
    <w:rsid w:val="00DD1272"/>
    <w:rsid w:val="00DD28AB"/>
    <w:rsid w:val="00DD3FF0"/>
    <w:rsid w:val="00DE03FC"/>
    <w:rsid w:val="00DE0F25"/>
    <w:rsid w:val="00DE3148"/>
    <w:rsid w:val="00DE3E18"/>
    <w:rsid w:val="00DF0A3E"/>
    <w:rsid w:val="00E0039D"/>
    <w:rsid w:val="00E03E03"/>
    <w:rsid w:val="00E050C6"/>
    <w:rsid w:val="00E11631"/>
    <w:rsid w:val="00E1190C"/>
    <w:rsid w:val="00E16A2F"/>
    <w:rsid w:val="00E26234"/>
    <w:rsid w:val="00E410A9"/>
    <w:rsid w:val="00E45003"/>
    <w:rsid w:val="00E51D36"/>
    <w:rsid w:val="00E62271"/>
    <w:rsid w:val="00E64B01"/>
    <w:rsid w:val="00E83CEE"/>
    <w:rsid w:val="00EA248C"/>
    <w:rsid w:val="00EA49BA"/>
    <w:rsid w:val="00EA5E84"/>
    <w:rsid w:val="00EB0CE7"/>
    <w:rsid w:val="00EB6688"/>
    <w:rsid w:val="00EB66E8"/>
    <w:rsid w:val="00EB77C8"/>
    <w:rsid w:val="00EC4068"/>
    <w:rsid w:val="00ED20E0"/>
    <w:rsid w:val="00ED52C8"/>
    <w:rsid w:val="00EE0DF1"/>
    <w:rsid w:val="00EE64CD"/>
    <w:rsid w:val="00EE7F15"/>
    <w:rsid w:val="00EF68CD"/>
    <w:rsid w:val="00EF6960"/>
    <w:rsid w:val="00F018AA"/>
    <w:rsid w:val="00F12EE9"/>
    <w:rsid w:val="00F17B63"/>
    <w:rsid w:val="00F23A6E"/>
    <w:rsid w:val="00F24CE0"/>
    <w:rsid w:val="00F25103"/>
    <w:rsid w:val="00F31592"/>
    <w:rsid w:val="00F344D5"/>
    <w:rsid w:val="00F35613"/>
    <w:rsid w:val="00F4188B"/>
    <w:rsid w:val="00F43A6D"/>
    <w:rsid w:val="00F43EDA"/>
    <w:rsid w:val="00F47612"/>
    <w:rsid w:val="00F64993"/>
    <w:rsid w:val="00F64FE3"/>
    <w:rsid w:val="00F77DEB"/>
    <w:rsid w:val="00F81C1A"/>
    <w:rsid w:val="00F915CD"/>
    <w:rsid w:val="00F91991"/>
    <w:rsid w:val="00F92ABA"/>
    <w:rsid w:val="00FB00F9"/>
    <w:rsid w:val="00FB0AEB"/>
    <w:rsid w:val="00FB52D7"/>
    <w:rsid w:val="00FB69D6"/>
    <w:rsid w:val="00FD122B"/>
    <w:rsid w:val="00FD199F"/>
    <w:rsid w:val="00FD659C"/>
    <w:rsid w:val="00FD7D54"/>
    <w:rsid w:val="00FE413D"/>
    <w:rsid w:val="00FE4EEA"/>
    <w:rsid w:val="00FE508F"/>
    <w:rsid w:val="00FF1BBA"/>
    <w:rsid w:val="00FF531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9A0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EF"/>
  </w:style>
  <w:style w:type="paragraph" w:styleId="Ttulo1">
    <w:name w:val="heading 1"/>
    <w:basedOn w:val="Normal"/>
    <w:next w:val="Normal"/>
    <w:link w:val="Ttulo1Char"/>
    <w:uiPriority w:val="9"/>
    <w:qFormat/>
    <w:rsid w:val="0049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3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3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3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3E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A44EA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CA7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FA1"/>
  </w:style>
  <w:style w:type="paragraph" w:styleId="Rodap">
    <w:name w:val="footer"/>
    <w:basedOn w:val="Normal"/>
    <w:link w:val="RodapChar"/>
    <w:uiPriority w:val="99"/>
    <w:unhideWhenUsed/>
    <w:rsid w:val="00CA7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9662-713C-492E-A750-66BD9E3E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2024-08-01T02:36:00Z</dcterms:created>
  <dcterms:modified xsi:type="dcterms:W3CDTF">2024-08-01T02:43:00Z</dcterms:modified>
</cp:coreProperties>
</file>