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5EAD5" w14:textId="77777777" w:rsidR="00C12778" w:rsidRPr="004F5E44" w:rsidRDefault="00C12778" w:rsidP="00C12778">
      <w:pPr>
        <w:jc w:val="center"/>
        <w:rPr>
          <w:b/>
          <w:bCs/>
        </w:rPr>
      </w:pPr>
      <w:proofErr w:type="spellStart"/>
      <w:r w:rsidRPr="004F5E44">
        <w:rPr>
          <w:b/>
          <w:bCs/>
          <w:i/>
          <w:iCs/>
        </w:rPr>
        <w:t>Fuggir</w:t>
      </w:r>
      <w:proofErr w:type="spellEnd"/>
      <w:r w:rsidRPr="004F5E44">
        <w:rPr>
          <w:b/>
          <w:bCs/>
          <w:i/>
          <w:iCs/>
        </w:rPr>
        <w:t xml:space="preserve"> </w:t>
      </w:r>
      <w:proofErr w:type="spellStart"/>
      <w:r w:rsidRPr="004F5E44">
        <w:rPr>
          <w:b/>
          <w:bCs/>
          <w:i/>
          <w:iCs/>
        </w:rPr>
        <w:t>la</w:t>
      </w:r>
      <w:proofErr w:type="spellEnd"/>
      <w:r w:rsidRPr="004F5E44">
        <w:rPr>
          <w:b/>
          <w:bCs/>
          <w:i/>
          <w:iCs/>
        </w:rPr>
        <w:t xml:space="preserve"> </w:t>
      </w:r>
      <w:proofErr w:type="spellStart"/>
      <w:r w:rsidRPr="004F5E44">
        <w:rPr>
          <w:b/>
          <w:bCs/>
          <w:i/>
          <w:iCs/>
        </w:rPr>
        <w:t>cadenza</w:t>
      </w:r>
      <w:proofErr w:type="spellEnd"/>
      <w:r w:rsidRPr="004F5E44">
        <w:rPr>
          <w:b/>
          <w:bCs/>
        </w:rPr>
        <w:t>: conotações metafísicas da ca</w:t>
      </w:r>
      <w:r>
        <w:rPr>
          <w:b/>
          <w:bCs/>
        </w:rPr>
        <w:t xml:space="preserve">dência de engano em </w:t>
      </w:r>
      <w:proofErr w:type="spellStart"/>
      <w:r>
        <w:rPr>
          <w:b/>
          <w:bCs/>
          <w:i/>
          <w:iCs/>
        </w:rPr>
        <w:t>Harmonices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Mudi</w:t>
      </w:r>
      <w:proofErr w:type="spellEnd"/>
      <w:r>
        <w:rPr>
          <w:b/>
          <w:bCs/>
        </w:rPr>
        <w:t>, Kepler</w:t>
      </w:r>
    </w:p>
    <w:p w14:paraId="4385DE22" w14:textId="77777777" w:rsidR="00C12778" w:rsidRDefault="00C12778" w:rsidP="00397021">
      <w:pPr>
        <w:rPr>
          <w:rFonts w:eastAsia="SimSun" w:cs="Times New Roman"/>
        </w:rPr>
      </w:pPr>
    </w:p>
    <w:p w14:paraId="43BBDE85" w14:textId="4D8EBB28" w:rsidR="00397021" w:rsidRDefault="00397021" w:rsidP="00397021">
      <w:pPr>
        <w:jc w:val="center"/>
        <w:rPr>
          <w:rFonts w:eastAsia="SimSun" w:cs="Times New Roman"/>
        </w:rPr>
      </w:pPr>
      <w:r>
        <w:rPr>
          <w:rFonts w:eastAsia="SimSun" w:cs="Times New Roman"/>
        </w:rPr>
        <w:t>Materiais suplementares</w:t>
      </w:r>
    </w:p>
    <w:p w14:paraId="3B6073C4" w14:textId="77777777" w:rsidR="00C12778" w:rsidRPr="00C12778" w:rsidRDefault="00C12778" w:rsidP="00C12778">
      <w:pPr>
        <w:jc w:val="center"/>
        <w:rPr>
          <w:rFonts w:eastAsia="SimSun" w:cs="Times New Roman"/>
        </w:rPr>
      </w:pPr>
    </w:p>
    <w:p w14:paraId="13FC8C38" w14:textId="2DF8F96F" w:rsidR="002A7572" w:rsidRPr="00BF6309" w:rsidRDefault="002A7572" w:rsidP="002A7572">
      <w:pPr>
        <w:spacing w:line="240" w:lineRule="auto"/>
        <w:jc w:val="center"/>
        <w:rPr>
          <w:rFonts w:eastAsia="SimSun" w:cs="Times New Roman"/>
          <w:sz w:val="16"/>
          <w:szCs w:val="14"/>
        </w:rPr>
      </w:pPr>
      <w:r w:rsidRPr="00BF6309">
        <w:rPr>
          <w:rFonts w:eastAsia="SimSun" w:cs="Times New Roman"/>
          <w:noProof/>
          <w:sz w:val="16"/>
          <w:szCs w:val="14"/>
        </w:rPr>
        <w:drawing>
          <wp:inline distT="0" distB="0" distL="0" distR="0" wp14:anchorId="4DEEFE19" wp14:editId="6496F566">
            <wp:extent cx="4053449" cy="1294410"/>
            <wp:effectExtent l="0" t="0" r="4445" b="1270"/>
            <wp:docPr id="1530226333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53035" name="Imagem 1" descr="Diagrama&#10;&#10;Descrição gerada automaticamente"/>
                    <pic:cNvPicPr/>
                  </pic:nvPicPr>
                  <pic:blipFill rotWithShape="1">
                    <a:blip r:embed="rId6"/>
                    <a:srcRect l="20525" r="20525" b="50191"/>
                    <a:stretch/>
                  </pic:blipFill>
                  <pic:spPr bwMode="auto">
                    <a:xfrm>
                      <a:off x="0" y="0"/>
                      <a:ext cx="4073285" cy="1300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9C04E7" w14:textId="77777777" w:rsidR="002A7572" w:rsidRPr="00BF6309" w:rsidRDefault="002A7572" w:rsidP="002A7572">
      <w:pPr>
        <w:spacing w:line="240" w:lineRule="auto"/>
        <w:jc w:val="center"/>
        <w:rPr>
          <w:rFonts w:eastAsia="SimSun" w:cs="Times New Roman"/>
          <w:sz w:val="8"/>
          <w:szCs w:val="6"/>
        </w:rPr>
      </w:pPr>
    </w:p>
    <w:p w14:paraId="2E74F37A" w14:textId="77777777" w:rsidR="002A7572" w:rsidRPr="00BF6309" w:rsidRDefault="002A7572" w:rsidP="002A7572">
      <w:pPr>
        <w:spacing w:line="240" w:lineRule="auto"/>
        <w:jc w:val="center"/>
        <w:rPr>
          <w:rFonts w:eastAsia="SimSun" w:cs="Times New Roman"/>
          <w:sz w:val="6"/>
          <w:szCs w:val="4"/>
        </w:rPr>
      </w:pPr>
    </w:p>
    <w:p w14:paraId="57AD55D4" w14:textId="77777777" w:rsidR="002A7572" w:rsidRPr="00BF6309" w:rsidRDefault="002A7572" w:rsidP="002A7572">
      <w:pPr>
        <w:spacing w:line="240" w:lineRule="auto"/>
        <w:jc w:val="center"/>
        <w:rPr>
          <w:rFonts w:eastAsia="SimSun" w:cs="Times New Roman"/>
          <w:sz w:val="16"/>
          <w:szCs w:val="14"/>
        </w:rPr>
      </w:pPr>
      <w:r w:rsidRPr="00BF6309">
        <w:rPr>
          <w:rFonts w:eastAsia="SimSun" w:cs="Times New Roman"/>
          <w:noProof/>
          <w:sz w:val="16"/>
          <w:szCs w:val="14"/>
        </w:rPr>
        <w:drawing>
          <wp:inline distT="0" distB="0" distL="0" distR="0" wp14:anchorId="0E512E9D" wp14:editId="5B75E75E">
            <wp:extent cx="6117500" cy="495300"/>
            <wp:effectExtent l="0" t="0" r="0" b="0"/>
            <wp:docPr id="1309053035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53035" name="Imagem 1" descr="Diagrama&#10;&#10;Descrição gerada automaticamente"/>
                    <pic:cNvPicPr/>
                  </pic:nvPicPr>
                  <pic:blipFill rotWithShape="1">
                    <a:blip r:embed="rId6"/>
                    <a:srcRect t="52376" b="26201"/>
                    <a:stretch/>
                  </pic:blipFill>
                  <pic:spPr bwMode="auto">
                    <a:xfrm>
                      <a:off x="0" y="0"/>
                      <a:ext cx="6120000" cy="4955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C27CEF" w14:textId="77777777" w:rsidR="002A7572" w:rsidRPr="00BF6309" w:rsidRDefault="002A7572" w:rsidP="002A7572">
      <w:pPr>
        <w:rPr>
          <w:rFonts w:eastAsia="SimSun" w:cs="Times New Roman"/>
          <w:sz w:val="16"/>
          <w:szCs w:val="14"/>
        </w:rPr>
      </w:pPr>
    </w:p>
    <w:p w14:paraId="533FAB46" w14:textId="77777777" w:rsidR="002A7572" w:rsidRPr="00BF6309" w:rsidRDefault="002A7572" w:rsidP="002A7572">
      <w:pPr>
        <w:jc w:val="center"/>
        <w:rPr>
          <w:rFonts w:eastAsia="SimSun" w:cs="Times New Roman"/>
          <w:sz w:val="16"/>
          <w:szCs w:val="14"/>
        </w:rPr>
      </w:pPr>
      <w:r w:rsidRPr="00BF6309">
        <w:rPr>
          <w:rFonts w:eastAsia="SimSun" w:cs="Times New Roman"/>
          <w:noProof/>
          <w:sz w:val="16"/>
          <w:szCs w:val="14"/>
        </w:rPr>
        <w:drawing>
          <wp:inline distT="0" distB="0" distL="0" distR="0" wp14:anchorId="5539F30A" wp14:editId="2B2DA412">
            <wp:extent cx="6117500" cy="605790"/>
            <wp:effectExtent l="0" t="0" r="0" b="3810"/>
            <wp:docPr id="1375200554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53035" name="Imagem 1" descr="Diagrama&#10;&#10;Descrição gerada automaticamente"/>
                    <pic:cNvPicPr/>
                  </pic:nvPicPr>
                  <pic:blipFill rotWithShape="1">
                    <a:blip r:embed="rId6"/>
                    <a:srcRect t="73798"/>
                    <a:stretch/>
                  </pic:blipFill>
                  <pic:spPr bwMode="auto">
                    <a:xfrm>
                      <a:off x="0" y="0"/>
                      <a:ext cx="6120000" cy="6060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9A7D16" w14:textId="77777777" w:rsidR="002A7572" w:rsidRPr="00BF6309" w:rsidRDefault="002A7572" w:rsidP="002A7572">
      <w:pPr>
        <w:spacing w:line="240" w:lineRule="auto"/>
        <w:jc w:val="center"/>
        <w:rPr>
          <w:rFonts w:eastAsia="SimSun" w:cs="Times New Roman"/>
          <w:sz w:val="12"/>
          <w:szCs w:val="10"/>
        </w:rPr>
      </w:pPr>
    </w:p>
    <w:p w14:paraId="5DBD9AF8" w14:textId="45373AC7" w:rsidR="002A7572" w:rsidRPr="00BF6309" w:rsidRDefault="002A7572" w:rsidP="002A7572">
      <w:pPr>
        <w:spacing w:line="240" w:lineRule="auto"/>
        <w:jc w:val="center"/>
        <w:rPr>
          <w:rFonts w:eastAsia="SimSun" w:cs="Times New Roman"/>
          <w:sz w:val="20"/>
          <w:szCs w:val="18"/>
        </w:rPr>
      </w:pPr>
      <w:bookmarkStart w:id="0" w:name="_Hlk161306509"/>
      <w:r w:rsidRPr="00BF6309">
        <w:rPr>
          <w:rFonts w:eastAsia="SimSun" w:cs="Times New Roman"/>
          <w:sz w:val="20"/>
          <w:szCs w:val="18"/>
        </w:rPr>
        <w:t>Fig</w:t>
      </w:r>
      <w:r w:rsidR="00397021">
        <w:rPr>
          <w:rFonts w:eastAsia="SimSun" w:cs="Times New Roman"/>
          <w:sz w:val="20"/>
          <w:szCs w:val="18"/>
        </w:rPr>
        <w:t>ura 1</w:t>
      </w:r>
      <w:r w:rsidR="004A718B">
        <w:rPr>
          <w:rFonts w:eastAsia="SimSun" w:cs="Times New Roman"/>
          <w:sz w:val="20"/>
          <w:szCs w:val="18"/>
        </w:rPr>
        <w:t xml:space="preserve"> –</w:t>
      </w:r>
      <w:r w:rsidRPr="00BF6309">
        <w:rPr>
          <w:rFonts w:eastAsia="SimSun" w:cs="Times New Roman"/>
          <w:sz w:val="20"/>
          <w:szCs w:val="18"/>
        </w:rPr>
        <w:t xml:space="preserve"> A melodia dos planetas, tal como estabeleceu Kepler em </w:t>
      </w:r>
      <w:proofErr w:type="spellStart"/>
      <w:r w:rsidRPr="00BF6309">
        <w:rPr>
          <w:rFonts w:eastAsia="SimSun" w:cs="Times New Roman"/>
          <w:i/>
          <w:iCs/>
          <w:sz w:val="20"/>
          <w:szCs w:val="18"/>
        </w:rPr>
        <w:t>Harmonices</w:t>
      </w:r>
      <w:proofErr w:type="spellEnd"/>
      <w:r w:rsidRPr="00BF6309">
        <w:rPr>
          <w:rFonts w:eastAsia="SimSun" w:cs="Times New Roman"/>
          <w:i/>
          <w:iCs/>
          <w:sz w:val="20"/>
          <w:szCs w:val="18"/>
        </w:rPr>
        <w:t xml:space="preserve"> </w:t>
      </w:r>
      <w:proofErr w:type="spellStart"/>
      <w:r w:rsidRPr="00BF6309">
        <w:rPr>
          <w:rFonts w:eastAsia="SimSun" w:cs="Times New Roman"/>
          <w:i/>
          <w:iCs/>
          <w:sz w:val="20"/>
          <w:szCs w:val="18"/>
        </w:rPr>
        <w:t>Mundi</w:t>
      </w:r>
      <w:proofErr w:type="spellEnd"/>
      <w:r w:rsidRPr="00BF6309">
        <w:rPr>
          <w:rFonts w:eastAsia="SimSun" w:cs="Times New Roman"/>
          <w:i/>
          <w:iCs/>
          <w:sz w:val="20"/>
          <w:szCs w:val="18"/>
        </w:rPr>
        <w:t xml:space="preserve"> </w:t>
      </w:r>
      <w:proofErr w:type="spellStart"/>
      <w:r w:rsidRPr="00BF6309">
        <w:rPr>
          <w:rFonts w:eastAsia="SimSun" w:cs="Times New Roman"/>
          <w:i/>
          <w:iCs/>
          <w:sz w:val="20"/>
          <w:szCs w:val="18"/>
        </w:rPr>
        <w:t>Libri</w:t>
      </w:r>
      <w:proofErr w:type="spellEnd"/>
      <w:r w:rsidRPr="00BF6309">
        <w:rPr>
          <w:rFonts w:eastAsia="SimSun" w:cs="Times New Roman"/>
          <w:i/>
          <w:iCs/>
          <w:sz w:val="20"/>
          <w:szCs w:val="18"/>
        </w:rPr>
        <w:t xml:space="preserve"> </w:t>
      </w:r>
      <w:proofErr w:type="spellStart"/>
      <w:r w:rsidRPr="00BF6309">
        <w:rPr>
          <w:rFonts w:eastAsia="SimSun" w:cs="Times New Roman"/>
          <w:i/>
          <w:iCs/>
          <w:sz w:val="20"/>
          <w:szCs w:val="18"/>
        </w:rPr>
        <w:t>Quinque</w:t>
      </w:r>
      <w:proofErr w:type="spellEnd"/>
      <w:r w:rsidRPr="00BF6309">
        <w:rPr>
          <w:rFonts w:eastAsia="SimSun" w:cs="Times New Roman"/>
          <w:sz w:val="20"/>
          <w:szCs w:val="18"/>
        </w:rPr>
        <w:t xml:space="preserve">, acompanhada de notação moderna. A partir de </w:t>
      </w:r>
      <w:proofErr w:type="spellStart"/>
      <w:r w:rsidRPr="00BF6309">
        <w:rPr>
          <w:rFonts w:eastAsia="SimSun" w:cs="Times New Roman"/>
          <w:sz w:val="20"/>
          <w:szCs w:val="18"/>
        </w:rPr>
        <w:t>Tonietti</w:t>
      </w:r>
      <w:proofErr w:type="spellEnd"/>
      <w:r w:rsidRPr="00BF6309">
        <w:rPr>
          <w:rFonts w:eastAsia="SimSun" w:cs="Times New Roman"/>
          <w:sz w:val="20"/>
          <w:szCs w:val="18"/>
        </w:rPr>
        <w:t>, 2014, p. 41</w:t>
      </w:r>
    </w:p>
    <w:bookmarkEnd w:id="0"/>
    <w:p w14:paraId="286F5603" w14:textId="77777777" w:rsidR="005D66C5" w:rsidRDefault="005D66C5"/>
    <w:p w14:paraId="7708132E" w14:textId="6ACD5289" w:rsidR="004A718B" w:rsidRDefault="004A718B">
      <w:pPr>
        <w:rPr>
          <w:b/>
          <w:bCs/>
        </w:rPr>
      </w:pPr>
      <w:r>
        <w:rPr>
          <w:b/>
          <w:bCs/>
        </w:rPr>
        <w:t>Referências</w:t>
      </w:r>
    </w:p>
    <w:p w14:paraId="0FA249C6" w14:textId="77777777" w:rsidR="004A718B" w:rsidRDefault="004A718B">
      <w:pPr>
        <w:rPr>
          <w:b/>
          <w:bCs/>
        </w:rPr>
      </w:pPr>
    </w:p>
    <w:p w14:paraId="4393E10C" w14:textId="0EF4C008" w:rsidR="00EB42DA" w:rsidRDefault="00EB42DA" w:rsidP="00EB42DA">
      <w:pPr>
        <w:spacing w:beforeLines="60" w:before="144" w:afterLines="60" w:after="144" w:line="240" w:lineRule="auto"/>
        <w:ind w:left="567" w:hanging="567"/>
        <w:rPr>
          <w:rFonts w:eastAsia="Calibri" w:cs="Times New Roman"/>
          <w:szCs w:val="24"/>
          <w:lang w:val="en-US"/>
        </w:rPr>
      </w:pPr>
      <w:bookmarkStart w:id="1" w:name="_Hlk83830229"/>
      <w:r w:rsidRPr="00EB42DA">
        <w:rPr>
          <w:rFonts w:eastAsia="Calibri" w:cs="Times New Roman"/>
          <w:szCs w:val="24"/>
          <w:lang w:val="en-US"/>
        </w:rPr>
        <w:t xml:space="preserve">COHEN, H. </w:t>
      </w:r>
      <w:r w:rsidRPr="00EB42DA">
        <w:rPr>
          <w:rFonts w:eastAsia="Calibri" w:cs="Times New Roman"/>
          <w:i/>
          <w:iCs/>
          <w:szCs w:val="24"/>
          <w:lang w:val="en-US"/>
        </w:rPr>
        <w:t>Quantifying Music: The Science of Music at the First Stage of the Scientific Revolution, 1580-1650</w:t>
      </w:r>
      <w:r w:rsidRPr="00EB42DA">
        <w:rPr>
          <w:rFonts w:eastAsia="Calibri" w:cs="Times New Roman"/>
          <w:szCs w:val="24"/>
          <w:lang w:val="en-US"/>
        </w:rPr>
        <w:t>. Dordrecht / Boston / Lancaster: D. Reidel Publishing Company, 1984.</w:t>
      </w:r>
      <w:bookmarkEnd w:id="1"/>
    </w:p>
    <w:p w14:paraId="487E260C" w14:textId="5BEDC1E0" w:rsidR="00DF478F" w:rsidRDefault="00DF478F" w:rsidP="00DF478F">
      <w:pPr>
        <w:spacing w:beforeLines="60" w:before="144" w:afterLines="60" w:after="144" w:line="240" w:lineRule="auto"/>
        <w:ind w:left="567" w:hanging="567"/>
        <w:rPr>
          <w:rFonts w:eastAsia="Calibri" w:cs="Times New Roman"/>
          <w:szCs w:val="24"/>
          <w:lang w:val="en-US"/>
        </w:rPr>
      </w:pPr>
      <w:r w:rsidRPr="00DF478F">
        <w:rPr>
          <w:rFonts w:eastAsia="Calibri" w:cs="Times New Roman"/>
          <w:szCs w:val="24"/>
          <w:lang w:val="en-US"/>
        </w:rPr>
        <w:t xml:space="preserve">KEPLER, Johannes. </w:t>
      </w:r>
      <w:r w:rsidRPr="00DF478F">
        <w:rPr>
          <w:rFonts w:eastAsia="Calibri" w:cs="Times New Roman"/>
          <w:i/>
          <w:iCs/>
          <w:szCs w:val="24"/>
          <w:lang w:val="en-US"/>
        </w:rPr>
        <w:t>The harmony of the world</w:t>
      </w:r>
      <w:r w:rsidRPr="00DF478F">
        <w:rPr>
          <w:rFonts w:eastAsia="Calibri" w:cs="Times New Roman"/>
          <w:szCs w:val="24"/>
          <w:lang w:val="en-US"/>
        </w:rPr>
        <w:t xml:space="preserve">. </w:t>
      </w:r>
      <w:proofErr w:type="spellStart"/>
      <w:r w:rsidRPr="00DF478F">
        <w:rPr>
          <w:rFonts w:eastAsia="Calibri" w:cs="Times New Roman"/>
          <w:szCs w:val="24"/>
          <w:lang w:val="en-US"/>
        </w:rPr>
        <w:t>Tradução</w:t>
      </w:r>
      <w:proofErr w:type="spellEnd"/>
      <w:r w:rsidRPr="00DF478F">
        <w:rPr>
          <w:rFonts w:eastAsia="Calibri" w:cs="Times New Roman"/>
          <w:szCs w:val="24"/>
          <w:lang w:val="en-US"/>
        </w:rPr>
        <w:t xml:space="preserve"> de AITON, J. D.; DUNCAN, A. M.; FIELD, J. V. Philadelphia: American Philosophical Society, 1997.</w:t>
      </w:r>
    </w:p>
    <w:p w14:paraId="62059BB2" w14:textId="49394D00" w:rsidR="00EB42DA" w:rsidRDefault="00EB42DA" w:rsidP="00EB42DA">
      <w:pPr>
        <w:spacing w:beforeLines="60" w:before="144" w:afterLines="60" w:after="144" w:line="240" w:lineRule="auto"/>
        <w:ind w:left="567" w:hanging="567"/>
        <w:rPr>
          <w:rFonts w:eastAsia="Calibri" w:cs="Times New Roman"/>
          <w:szCs w:val="24"/>
          <w:lang w:val="en-US"/>
        </w:rPr>
      </w:pPr>
      <w:r w:rsidRPr="00EB42DA">
        <w:rPr>
          <w:rFonts w:eastAsia="Calibri" w:cs="Times New Roman"/>
          <w:szCs w:val="24"/>
          <w:lang w:val="en-US"/>
        </w:rPr>
        <w:t xml:space="preserve">PESIC, Peter. </w:t>
      </w:r>
      <w:r w:rsidRPr="00EB42DA">
        <w:rPr>
          <w:rFonts w:eastAsia="Calibri" w:cs="Times New Roman"/>
          <w:i/>
          <w:iCs/>
          <w:szCs w:val="24"/>
          <w:lang w:val="en-US"/>
        </w:rPr>
        <w:t>Music and the making of modern science</w:t>
      </w:r>
      <w:r w:rsidRPr="00EB42DA">
        <w:rPr>
          <w:rFonts w:eastAsia="Calibri" w:cs="Times New Roman"/>
          <w:szCs w:val="24"/>
          <w:lang w:val="en-US"/>
        </w:rPr>
        <w:t>. Cambridge: MIT Press, 2014.</w:t>
      </w:r>
    </w:p>
    <w:p w14:paraId="69D4DE47" w14:textId="27E2D1B5" w:rsidR="00EB42DA" w:rsidRDefault="00EB42DA" w:rsidP="00EB42DA">
      <w:pPr>
        <w:spacing w:beforeLines="60" w:before="144" w:afterLines="60" w:after="144" w:line="240" w:lineRule="auto"/>
        <w:ind w:left="567" w:hanging="567"/>
        <w:rPr>
          <w:rFonts w:eastAsia="Calibri" w:cs="Times New Roman"/>
          <w:szCs w:val="24"/>
          <w:lang w:val="en-US"/>
        </w:rPr>
      </w:pPr>
      <w:r w:rsidRPr="00EB42DA">
        <w:rPr>
          <w:rFonts w:eastAsia="Calibri" w:cs="Times New Roman"/>
          <w:szCs w:val="24"/>
          <w:lang w:val="en-US"/>
        </w:rPr>
        <w:t xml:space="preserve">TONIETTI, Tito M. </w:t>
      </w:r>
      <w:r w:rsidRPr="00EB42DA">
        <w:rPr>
          <w:rFonts w:eastAsia="Calibri" w:cs="Times New Roman"/>
          <w:i/>
          <w:iCs/>
          <w:szCs w:val="24"/>
          <w:lang w:val="en-US"/>
        </w:rPr>
        <w:t>And Yet It Is Heard: Musical, Multilingual and Multicultural History of the Mathematical Sciences - Volume 2</w:t>
      </w:r>
      <w:r w:rsidRPr="00EB42DA">
        <w:rPr>
          <w:rFonts w:eastAsia="Calibri" w:cs="Times New Roman"/>
          <w:szCs w:val="24"/>
          <w:lang w:val="en-US"/>
        </w:rPr>
        <w:t xml:space="preserve">. Basileia: </w:t>
      </w:r>
      <w:proofErr w:type="spellStart"/>
      <w:r w:rsidRPr="00EB42DA">
        <w:rPr>
          <w:rFonts w:eastAsia="Calibri" w:cs="Times New Roman"/>
          <w:szCs w:val="24"/>
          <w:lang w:val="en-US"/>
        </w:rPr>
        <w:t>Birkhäuser</w:t>
      </w:r>
      <w:proofErr w:type="spellEnd"/>
      <w:r w:rsidRPr="00EB42DA">
        <w:rPr>
          <w:rFonts w:eastAsia="Calibri" w:cs="Times New Roman"/>
          <w:szCs w:val="24"/>
          <w:lang w:val="en-US"/>
        </w:rPr>
        <w:t>, 2014.</w:t>
      </w:r>
    </w:p>
    <w:p w14:paraId="7A72C4A0" w14:textId="77777777" w:rsidR="00EB42DA" w:rsidRPr="00EB42DA" w:rsidRDefault="00EB42DA" w:rsidP="00EB42DA">
      <w:pPr>
        <w:spacing w:beforeLines="60" w:before="144" w:afterLines="60" w:after="144" w:line="240" w:lineRule="auto"/>
        <w:ind w:left="567" w:hanging="567"/>
        <w:rPr>
          <w:rFonts w:eastAsia="Calibri" w:cs="Times New Roman"/>
          <w:szCs w:val="24"/>
          <w:lang w:val="en-US"/>
        </w:rPr>
      </w:pPr>
    </w:p>
    <w:p w14:paraId="54B3EFDF" w14:textId="019485F8" w:rsidR="004A718B" w:rsidRPr="00EB42DA" w:rsidRDefault="004A718B">
      <w:pPr>
        <w:rPr>
          <w:lang w:val="en-US"/>
        </w:rPr>
      </w:pPr>
    </w:p>
    <w:sectPr w:rsidR="004A718B" w:rsidRPr="00EB42DA" w:rsidSect="00504E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92F6A" w14:textId="77777777" w:rsidR="007A4D3E" w:rsidRDefault="007A4D3E" w:rsidP="00C21DF3">
      <w:pPr>
        <w:spacing w:line="240" w:lineRule="auto"/>
      </w:pPr>
      <w:r>
        <w:separator/>
      </w:r>
    </w:p>
  </w:endnote>
  <w:endnote w:type="continuationSeparator" w:id="0">
    <w:p w14:paraId="57A9DB77" w14:textId="77777777" w:rsidR="007A4D3E" w:rsidRDefault="007A4D3E" w:rsidP="00C2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 Garamond">
    <w:altName w:val="EB Garamond"/>
    <w:charset w:val="00"/>
    <w:family w:val="auto"/>
    <w:pitch w:val="variable"/>
    <w:sig w:usb0="E00002FF" w:usb1="020004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2BE1B" w14:textId="77777777" w:rsidR="00C21DF3" w:rsidRDefault="00C21D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9469232"/>
      <w:docPartObj>
        <w:docPartGallery w:val="Page Numbers (Bottom of Page)"/>
        <w:docPartUnique/>
      </w:docPartObj>
    </w:sdtPr>
    <w:sdtContent>
      <w:p w14:paraId="4A293264" w14:textId="09FC6EDD" w:rsidR="00C21DF3" w:rsidRDefault="00C21DF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D798BC" w14:textId="77777777" w:rsidR="00C21DF3" w:rsidRDefault="00C21DF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DC130" w14:textId="77777777" w:rsidR="00C21DF3" w:rsidRDefault="00C21DF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DC7C90" w14:textId="77777777" w:rsidR="007A4D3E" w:rsidRDefault="007A4D3E" w:rsidP="00C21DF3">
      <w:pPr>
        <w:spacing w:line="240" w:lineRule="auto"/>
      </w:pPr>
      <w:r>
        <w:separator/>
      </w:r>
    </w:p>
  </w:footnote>
  <w:footnote w:type="continuationSeparator" w:id="0">
    <w:p w14:paraId="6386FEE3" w14:textId="77777777" w:rsidR="007A4D3E" w:rsidRDefault="007A4D3E" w:rsidP="00C2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A8A3A" w14:textId="77777777" w:rsidR="00C21DF3" w:rsidRDefault="00C21D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727C3" w14:textId="77777777" w:rsidR="00C21DF3" w:rsidRDefault="00C21DF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9B9C0" w14:textId="77777777" w:rsidR="00C21DF3" w:rsidRDefault="00C21DF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572"/>
    <w:rsid w:val="0014206D"/>
    <w:rsid w:val="002A7572"/>
    <w:rsid w:val="00397021"/>
    <w:rsid w:val="004A718B"/>
    <w:rsid w:val="00504E71"/>
    <w:rsid w:val="005D66C5"/>
    <w:rsid w:val="007A4D3E"/>
    <w:rsid w:val="007A67B7"/>
    <w:rsid w:val="0080321F"/>
    <w:rsid w:val="00A80C76"/>
    <w:rsid w:val="00B673FC"/>
    <w:rsid w:val="00C12778"/>
    <w:rsid w:val="00C21DF3"/>
    <w:rsid w:val="00DD0DC3"/>
    <w:rsid w:val="00DF478F"/>
    <w:rsid w:val="00EB42DA"/>
    <w:rsid w:val="00F2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7B742"/>
  <w15:chartTrackingRefBased/>
  <w15:docId w15:val="{41E47A29-A3EF-465A-A00E-F3520A2A9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572"/>
    <w:rPr>
      <w:rFonts w:ascii="EB Garamond" w:hAnsi="EB Garamond"/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A7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A7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A75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A75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A75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A75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A75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A75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A75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A757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A757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A757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A7572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A7572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A7572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A7572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A7572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A7572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har"/>
    <w:uiPriority w:val="10"/>
    <w:qFormat/>
    <w:rsid w:val="002A7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A757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2A75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A757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o">
    <w:name w:val="Quote"/>
    <w:basedOn w:val="Normal"/>
    <w:next w:val="Normal"/>
    <w:link w:val="CitaoChar"/>
    <w:uiPriority w:val="29"/>
    <w:qFormat/>
    <w:rsid w:val="002A75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A7572"/>
    <w:rPr>
      <w:rFonts w:ascii="EB Garamond" w:hAnsi="EB Garamond"/>
      <w:i/>
      <w:iCs/>
      <w:color w:val="404040" w:themeColor="text1" w:themeTint="BF"/>
      <w:kern w:val="0"/>
      <w:sz w:val="24"/>
      <w14:ligatures w14:val="none"/>
    </w:rPr>
  </w:style>
  <w:style w:type="paragraph" w:styleId="PargrafodaLista">
    <w:name w:val="List Paragraph"/>
    <w:basedOn w:val="Normal"/>
    <w:uiPriority w:val="34"/>
    <w:qFormat/>
    <w:rsid w:val="002A75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A75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A7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A7572"/>
    <w:rPr>
      <w:rFonts w:ascii="EB Garamond" w:hAnsi="EB Garamond"/>
      <w:i/>
      <w:iCs/>
      <w:color w:val="2F5496" w:themeColor="accent1" w:themeShade="BF"/>
      <w:kern w:val="0"/>
      <w:sz w:val="24"/>
      <w14:ligatures w14:val="none"/>
    </w:rPr>
  </w:style>
  <w:style w:type="character" w:styleId="RefernciaIntensa">
    <w:name w:val="Intense Reference"/>
    <w:basedOn w:val="Fontepargpadro"/>
    <w:uiPriority w:val="32"/>
    <w:qFormat/>
    <w:rsid w:val="002A757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1DF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1DF3"/>
    <w:rPr>
      <w:rFonts w:ascii="EB Garamond" w:hAnsi="EB Garamond"/>
      <w:kern w:val="0"/>
      <w:sz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21DF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1DF3"/>
    <w:rPr>
      <w:rFonts w:ascii="EB Garamond" w:hAnsi="EB Garamond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Rocha Grain</dc:creator>
  <cp:keywords/>
  <dc:description/>
  <cp:lastModifiedBy>Matheus Rocha Grain</cp:lastModifiedBy>
  <cp:revision>2</cp:revision>
  <dcterms:created xsi:type="dcterms:W3CDTF">2024-07-30T04:14:00Z</dcterms:created>
  <dcterms:modified xsi:type="dcterms:W3CDTF">2024-07-30T04:36:00Z</dcterms:modified>
</cp:coreProperties>
</file>