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ChordHand: uma interface gráfica para transcrição de cifras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5454015" cy="1837690"/>
            <wp:effectExtent l="0" t="0" r="0" b="0"/>
            <wp:docPr id="1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Figura 1 - Interface gráfica do ChordHand. Cada "célula" representa um compasso. As linhas representam, de cima para baixo: número do compasso, código da(s) cifra(s), cifra(s) decodificada(s), região harmônica, análise harmônica (junto com tipo analítico, a ser explicado posteriormente).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5873750" cy="1627505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2 -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Layout </w:t>
      </w:r>
      <w:r>
        <w:rPr>
          <w:rFonts w:eastAsia="Times New Roman" w:cs="Times New Roman" w:ascii="Times New Roman" w:hAnsi="Times New Roman"/>
          <w:sz w:val="24"/>
          <w:szCs w:val="24"/>
        </w:rPr>
        <w:t>dos códigos para fundamentais.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5943600" cy="2095500"/>
            <wp:effectExtent l="0" t="0" r="0" b="0"/>
            <wp:docPr id="3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3 -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Layout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dos códigos para qualidades, na codificação padrão, sem o uso da tecla "Shift". Na parte de baixo das teclas está o caractere normalmente encontrado em um teclado brasileiro e na parte de cima a cifra da qualidade correspondente. As cores indicam grupos de qualidades similares. A cor vermelha, por exemplo, compreende as qualidades de acordes maiores com sétima menor. Disponível em: </w:t>
      </w:r>
      <w:r>
        <w:fldChar w:fldCharType="begin"/>
      </w:r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instrText xml:space="preserve"> HYPERLINK "http://www.keyboard-layout-editor.com/" \l "/gists/576a2634ea644b1e4ad6b43e7ba3a736"</w:instrText>
      </w:r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fldChar w:fldCharType="separate"/>
      </w:r>
      <w:hyperlink r:id="rId5"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http://www.keyboard-layout-editor.com/#/gists/576a2634ea644b1e4ad6b43e7ba3a736</w:t>
        </w:r>
      </w:hyperlink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fldChar w:fldCharType="end"/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/>
        <w:drawing>
          <wp:inline distT="0" distB="0" distL="0" distR="0">
            <wp:extent cx="5943600" cy="2120900"/>
            <wp:effectExtent l="0" t="0" r="0" b="0"/>
            <wp:docPr id="4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4 -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Layout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dos códigos para qualidades, com o uso da tecla "Shift". Disponível em: </w:t>
      </w:r>
      <w:r>
        <w:fldChar w:fldCharType="begin"/>
      </w:r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instrText xml:space="preserve"> HYPERLINK "http://www.keyboard-layout-editor.com/" \l "/gists/576a2634ea644b1e4ad6b43e7ba3a736"</w:instrText>
      </w:r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fldChar w:fldCharType="separate"/>
      </w:r>
      <w:r>
        <w:rPr>
          <w:rStyle w:val="Hyperlink"/>
          <w:rFonts w:eastAsia="Times New Roman" w:cs="Times New Roman" w:ascii="Times New Roman" w:hAnsi="Times New Roman"/>
          <w:sz w:val="24"/>
          <w:szCs w:val="24"/>
        </w:rPr>
        <w:t>http://www.keyboard-layout-editor.com/#/gists/576a2634ea644b1e4ad6b43e7ba3a736</w:t>
      </w:r>
      <w:r>
        <w:rPr>
          <w:rStyle w:val="Hyperlink"/>
          <w:sz w:val="24"/>
          <w:szCs w:val="24"/>
          <w:rFonts w:eastAsia="Times New Roman" w:cs="Times New Roman" w:ascii="Times New Roman" w:hAnsi="Times New Roman"/>
        </w:rPr>
        <w:fldChar w:fldCharType="end"/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/>
        <w:drawing>
          <wp:inline distT="0" distB="0" distL="0" distR="0">
            <wp:extent cx="4629150" cy="1943100"/>
            <wp:effectExtent l="0" t="0" r="0" b="0"/>
            <wp:docPr id="5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Tabela 1 - Tipos analíticos padrão. O valor da coluna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Abreviação </w:t>
      </w:r>
      <w:r>
        <w:rPr>
          <w:rFonts w:eastAsia="Times New Roman" w:cs="Times New Roman" w:ascii="Times New Roman" w:hAnsi="Times New Roman"/>
          <w:sz w:val="24"/>
          <w:szCs w:val="24"/>
        </w:rPr>
        <w:t>deve ser utilizado na planilha de definição das análises padrão. As colunas "grau relativo" e "classe de altura relativa" indicam qual é o "alvo" da harmonia. Uma dominante secundária, por exemplo, tem seu alvo uma quarta acima e sete semitons acima, isso é, uma quarta justa acima. No arquivo utilizado pelo software, o grau da classe de alturas relativa é indicado por números inteiros, com positivos representando intervalos acima e negativos representando intervalos abaixo.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  <w:drawing>
          <wp:inline distT="0" distB="0" distL="0" distR="0">
            <wp:extent cx="4505325" cy="2381250"/>
            <wp:effectExtent l="0" t="0" r="0" b="0"/>
            <wp:docPr id="6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Tabela 2 - Tipos analíticos do ProjetoMPB.</w:t>
      </w:r>
    </w:p>
    <w:p>
      <w:pPr>
        <w:pStyle w:val="Normal1"/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/>
        <w:drawing>
          <wp:inline distT="0" distB="0" distL="0" distR="0">
            <wp:extent cx="4105275" cy="2381250"/>
            <wp:effectExtent l="0" t="0" r="0" b="0"/>
            <wp:docPr id="7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5 - Exemplo de entrada na planilha de definição dos tipos analíticos padrão. A célula em verde determina que a análise padrão de um primeiro grau (linha 4) com a qualidade "maior com sétima menor" (coluna T) 7 é V/IV.</w:t>
        <w:br/>
        <w:br/>
      </w:r>
      <w:r>
        <w:rPr/>
        <w:drawing>
          <wp:inline distT="0" distB="0" distL="0" distR="0">
            <wp:extent cx="5943600" cy="812800"/>
            <wp:effectExtent l="0" t="0" r="0" b="0"/>
            <wp:docPr id="8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6 - Arquivo de texto exportado a partir da interface da Figura 1.</w:t>
        <w:br/>
        <w:br/>
      </w:r>
      <w:r>
        <w:rPr/>
        <w:drawing>
          <wp:inline distT="0" distB="0" distL="0" distR="0">
            <wp:extent cx="4857750" cy="1962150"/>
            <wp:effectExtent l="0" t="0" r="0" b="0"/>
            <wp:docPr id="9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 Figura 7 - Arquivo CSV exportado a partir da interface da Figura 1.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Referências bibliográficas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ALMADA, C; CARVALHO, H..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ProjetoMPB</w:t>
      </w:r>
      <w:r>
        <w:rPr>
          <w:rFonts w:eastAsia="Times New Roman" w:cs="Times New Roman" w:ascii="Times New Roman" w:hAnsi="Times New Roman"/>
          <w:sz w:val="24"/>
          <w:szCs w:val="24"/>
        </w:rPr>
        <w:t>: Um estudo sistemático sobre a estrutura da Música Popular Brasileira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2024a. Disponível em: </w:t>
      </w:r>
      <w:hyperlink r:id="rId12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https://projetompb.com.br/index.html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. Acesso em 17 jul. 2024.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ALMADA, C; CARVALHO, H.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Modelos teóricos.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2024b. Disponível em: </w:t>
      </w:r>
      <w:hyperlink r:id="rId1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https://projetompb.com.br/capitulos/modelos-teoricos.html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. Acesso em 17 jul. 2024.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ALMADA, C. 2022.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 Harmonia de Jobim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Campinas: Editora da Unicamp. 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DECLERQ, TEMPERLEY.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 corpus analysis of rock harmony</w:t>
      </w:r>
      <w:r>
        <w:rPr>
          <w:rFonts w:eastAsia="Times New Roman" w:cs="Times New Roman" w:ascii="Times New Roman" w:hAnsi="Times New Roman"/>
          <w:sz w:val="24"/>
          <w:szCs w:val="24"/>
        </w:rPr>
        <w:t>. Popular Music. Vol. 30/1, pp. 47–7. Cambridge: Cambridge University Press, 2011. pp. 47–7</w:t>
      </w:r>
    </w:p>
    <w:p>
      <w:pPr>
        <w:pStyle w:val="Normal1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LEVKIVSKYI, I.; LEHTOSALO, J.; LANGA, L.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PEP 544 – Protocols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Structural subtyping (static duck typing). 2017. Disponível em: </w:t>
      </w:r>
      <w:hyperlink r:id="rId14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https://peps.python.org/pep-0544/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. Acesso em 17 jul. 2024.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hyperlink" Target="https://projetompb.com.br/index.html" TargetMode="External"/><Relationship Id="rId13" Type="http://schemas.openxmlformats.org/officeDocument/2006/relationships/hyperlink" Target="https://projetompb.com.br/capitulos/modelos-teoricos.html" TargetMode="External"/><Relationship Id="rId14" Type="http://schemas.openxmlformats.org/officeDocument/2006/relationships/hyperlink" Target="https://peps.python.org/pep-0544/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4</Pages>
  <Words>396</Words>
  <Characters>2370</Characters>
  <CharactersWithSpaces>2774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2024-07-20T16:11:39Z</dcterms:created>
  <dc:creator/>
  <dc:description/>
  <dc:language>en-US</dc:language>
  <cp:lastModifiedBy/>
  <cp:revision>1</cp:revision>
  <dc:subject/>
  <dc:title/>
</cp:coreProperties>
</file>