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30D3F" w14:textId="77777777" w:rsidR="00843723" w:rsidRPr="008B7DEF" w:rsidRDefault="00843723" w:rsidP="00843723">
      <w:pPr>
        <w:spacing w:before="0" w:line="360" w:lineRule="auto"/>
        <w:jc w:val="center"/>
        <w:rPr>
          <w:rFonts w:ascii="Times New Roman" w:hAnsi="Times New Roman" w:cs="Times New Roman"/>
          <w:b/>
          <w:bCs/>
          <w:sz w:val="24"/>
          <w:szCs w:val="24"/>
        </w:rPr>
      </w:pPr>
      <w:r w:rsidRPr="008B7DEF">
        <w:rPr>
          <w:rFonts w:ascii="Times New Roman" w:hAnsi="Times New Roman" w:cs="Times New Roman"/>
          <w:b/>
          <w:bCs/>
          <w:sz w:val="24"/>
          <w:szCs w:val="24"/>
        </w:rPr>
        <w:t xml:space="preserve">Afluentes Ensemble e a Criação de </w:t>
      </w:r>
      <w:r>
        <w:rPr>
          <w:rFonts w:ascii="Times New Roman" w:hAnsi="Times New Roman" w:cs="Times New Roman"/>
          <w:b/>
          <w:bCs/>
          <w:sz w:val="24"/>
          <w:szCs w:val="24"/>
        </w:rPr>
        <w:t>“</w:t>
      </w:r>
      <w:r w:rsidRPr="008B7DEF">
        <w:rPr>
          <w:rFonts w:ascii="Times New Roman" w:hAnsi="Times New Roman" w:cs="Times New Roman"/>
          <w:b/>
          <w:bCs/>
          <w:sz w:val="24"/>
          <w:szCs w:val="24"/>
        </w:rPr>
        <w:t>A Nova Lenda do Abaeté</w:t>
      </w:r>
      <w:r>
        <w:rPr>
          <w:rFonts w:ascii="Times New Roman" w:hAnsi="Times New Roman" w:cs="Times New Roman"/>
          <w:b/>
          <w:bCs/>
          <w:sz w:val="24"/>
          <w:szCs w:val="24"/>
        </w:rPr>
        <w:t>”</w:t>
      </w:r>
      <w:r w:rsidRPr="008B7DEF">
        <w:rPr>
          <w:rFonts w:ascii="Times New Roman" w:hAnsi="Times New Roman" w:cs="Times New Roman"/>
          <w:b/>
          <w:bCs/>
          <w:sz w:val="24"/>
          <w:szCs w:val="24"/>
        </w:rPr>
        <w:t>: Desafios de Comprovisacionalidade</w:t>
      </w:r>
    </w:p>
    <w:p w14:paraId="3EFFF2F1" w14:textId="25940B80" w:rsidR="00DD4585" w:rsidRDefault="00843723" w:rsidP="00843723">
      <w:pPr>
        <w:spacing w:before="0" w:line="360" w:lineRule="auto"/>
        <w:rPr>
          <w:rFonts w:ascii="Times New Roman" w:hAnsi="Times New Roman" w:cs="Times New Roman"/>
          <w:sz w:val="24"/>
          <w:szCs w:val="24"/>
        </w:rPr>
      </w:pPr>
      <w:r>
        <w:rPr>
          <w:rFonts w:ascii="Times New Roman" w:hAnsi="Times New Roman" w:cs="Times New Roman"/>
          <w:sz w:val="24"/>
          <w:szCs w:val="24"/>
        </w:rPr>
        <w:t>MATERIAIS SUPLEMENTARES</w:t>
      </w:r>
    </w:p>
    <w:p w14:paraId="45A315D4" w14:textId="77777777" w:rsidR="00843723" w:rsidRPr="00843723" w:rsidRDefault="00843723" w:rsidP="00843723">
      <w:pPr>
        <w:spacing w:before="0" w:line="360" w:lineRule="auto"/>
        <w:rPr>
          <w:rFonts w:ascii="Times New Roman" w:hAnsi="Times New Roman" w:cs="Times New Roman"/>
          <w:b/>
          <w:bCs/>
          <w:sz w:val="24"/>
          <w:szCs w:val="24"/>
        </w:rPr>
      </w:pPr>
    </w:p>
    <w:p w14:paraId="59C7F631" w14:textId="25B8F405" w:rsidR="00843723" w:rsidRDefault="00843723" w:rsidP="00843723">
      <w:pPr>
        <w:spacing w:before="0" w:line="360" w:lineRule="auto"/>
        <w:rPr>
          <w:rFonts w:ascii="Times New Roman" w:hAnsi="Times New Roman" w:cs="Times New Roman"/>
          <w:b/>
          <w:bCs/>
          <w:sz w:val="24"/>
          <w:szCs w:val="24"/>
        </w:rPr>
      </w:pPr>
      <w:r w:rsidRPr="00843723">
        <w:rPr>
          <w:rFonts w:ascii="Times New Roman" w:hAnsi="Times New Roman" w:cs="Times New Roman"/>
          <w:b/>
          <w:bCs/>
          <w:sz w:val="24"/>
          <w:szCs w:val="24"/>
        </w:rPr>
        <w:t xml:space="preserve">Análise dos contornos de parâmetros indeterminados em </w:t>
      </w:r>
      <w:r w:rsidRPr="006228FA">
        <w:rPr>
          <w:rFonts w:ascii="Times New Roman" w:hAnsi="Times New Roman" w:cs="Times New Roman"/>
          <w:b/>
          <w:bCs/>
          <w:i/>
          <w:iCs/>
          <w:sz w:val="24"/>
          <w:szCs w:val="24"/>
        </w:rPr>
        <w:t>A Nova Lenda do Abaeté</w:t>
      </w:r>
    </w:p>
    <w:p w14:paraId="2609372B" w14:textId="77777777" w:rsidR="00843723" w:rsidRDefault="00843723" w:rsidP="00843723">
      <w:pPr>
        <w:spacing w:before="0" w:line="360" w:lineRule="auto"/>
        <w:rPr>
          <w:rFonts w:ascii="Times New Roman" w:hAnsi="Times New Roman" w:cs="Times New Roman"/>
          <w:b/>
          <w:bCs/>
          <w:sz w:val="24"/>
          <w:szCs w:val="24"/>
        </w:rPr>
      </w:pPr>
    </w:p>
    <w:p w14:paraId="0F167C70" w14:textId="63EF6949" w:rsidR="00843723" w:rsidRPr="00843723" w:rsidRDefault="00843723" w:rsidP="00843723">
      <w:pPr>
        <w:spacing w:before="0" w:line="360" w:lineRule="auto"/>
        <w:ind w:firstLine="340"/>
        <w:jc w:val="both"/>
        <w:rPr>
          <w:rFonts w:ascii="Times New Roman" w:hAnsi="Times New Roman" w:cs="Times New Roman"/>
          <w:b/>
          <w:bCs/>
          <w:sz w:val="24"/>
          <w:szCs w:val="24"/>
        </w:rPr>
      </w:pPr>
      <w:r w:rsidRPr="00843723">
        <w:rPr>
          <w:rFonts w:ascii="Times New Roman" w:hAnsi="Times New Roman" w:cs="Times New Roman"/>
          <w:sz w:val="24"/>
          <w:szCs w:val="24"/>
        </w:rPr>
        <w:t xml:space="preserve">O trecho seguinte (fig. 1) é o da terceira parte, que foi escrita em partitura gráfica e designada para o ensemble em sua totalidade, que procurará interpretar </w:t>
      </w:r>
      <w:proofErr w:type="spellStart"/>
      <w:r w:rsidRPr="00843723">
        <w:rPr>
          <w:rFonts w:ascii="Times New Roman" w:hAnsi="Times New Roman" w:cs="Times New Roman"/>
          <w:sz w:val="24"/>
          <w:szCs w:val="24"/>
        </w:rPr>
        <w:t>improvisativamente</w:t>
      </w:r>
      <w:proofErr w:type="spellEnd"/>
      <w:r w:rsidRPr="00843723">
        <w:rPr>
          <w:rFonts w:ascii="Times New Roman" w:hAnsi="Times New Roman" w:cs="Times New Roman"/>
          <w:sz w:val="24"/>
          <w:szCs w:val="24"/>
        </w:rPr>
        <w:t xml:space="preserve"> os contornos traçados sobre a paisagem, como também a própria ambiência evocada. Trata-se de contornos fotográficos cujas alturas são indeterminadas. E a interpretação passa pela negociação entre os musicistas, ainda que havendo instruções de execução em sua partitura. Há a possibilidade de incorporação da eletroacústica durante toda a peça, mas aqui têm um volume menor de execução para que a canção comece a ser executada pelo violonista e pelo(a) vocalista. Ou seja, a canção pode servir de norteamento harmônico para a execução comprovisativa do arranjo de instrumentos em diálogo, tendo também como referência os contornos de parâmetros indeterminados da paisagem.</w:t>
      </w:r>
    </w:p>
    <w:p w14:paraId="6CB07EDF" w14:textId="0A812AD1" w:rsidR="00843723" w:rsidRPr="00843723" w:rsidRDefault="00843723" w:rsidP="00110490">
      <w:pPr>
        <w:pStyle w:val="PargrafodaLista"/>
        <w:ind w:left="0"/>
        <w:contextualSpacing w:val="0"/>
        <w:jc w:val="center"/>
        <w:rPr>
          <w:rFonts w:ascii="Times New Roman" w:hAnsi="Times New Roman" w:cs="Times New Roman"/>
          <w:b/>
          <w:bCs/>
          <w:i/>
          <w:iCs/>
          <w:sz w:val="20"/>
          <w:szCs w:val="20"/>
        </w:rPr>
      </w:pPr>
      <w:r w:rsidRPr="00843723">
        <w:rPr>
          <w:rFonts w:ascii="Times New Roman" w:hAnsi="Times New Roman" w:cs="Times New Roman"/>
          <w:b/>
          <w:bCs/>
          <w:sz w:val="20"/>
          <w:szCs w:val="20"/>
        </w:rPr>
        <w:t xml:space="preserve">Figura 1 – Trecho de </w:t>
      </w:r>
      <w:r w:rsidRPr="00843723">
        <w:rPr>
          <w:rFonts w:ascii="Times New Roman" w:hAnsi="Times New Roman" w:cs="Times New Roman"/>
          <w:b/>
          <w:bCs/>
          <w:i/>
          <w:iCs/>
          <w:sz w:val="20"/>
          <w:szCs w:val="20"/>
        </w:rPr>
        <w:t>A Nova Lenda do Abaeté</w:t>
      </w:r>
    </w:p>
    <w:p w14:paraId="4A0014F7" w14:textId="77777777" w:rsidR="00843723" w:rsidRDefault="00843723" w:rsidP="00110490">
      <w:pPr>
        <w:pStyle w:val="PargrafodaLista"/>
        <w:ind w:left="0"/>
        <w:contextualSpacing w:val="0"/>
        <w:jc w:val="center"/>
        <w:rPr>
          <w:rFonts w:ascii="Times New Roman" w:hAnsi="Times New Roman" w:cs="Times New Roman"/>
          <w:sz w:val="20"/>
          <w:szCs w:val="20"/>
        </w:rPr>
      </w:pPr>
      <w:r w:rsidRPr="002430CF">
        <w:rPr>
          <w:rFonts w:ascii="Baskerville Old Face" w:hAnsi="Baskerville Old Face"/>
          <w:noProof/>
        </w:rPr>
        <w:drawing>
          <wp:inline distT="0" distB="0" distL="0" distR="0" wp14:anchorId="1B626E4C" wp14:editId="2A2E21D8">
            <wp:extent cx="3814200" cy="2655770"/>
            <wp:effectExtent l="0" t="0" r="0" b="0"/>
            <wp:docPr id="1464662884"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62884" name="Imagem 1" descr="Uma imagem contendo Diagrama&#10;&#10;Descrição gerada automaticamente"/>
                    <pic:cNvPicPr/>
                  </pic:nvPicPr>
                  <pic:blipFill>
                    <a:blip r:embed="rId5"/>
                    <a:stretch>
                      <a:fillRect/>
                    </a:stretch>
                  </pic:blipFill>
                  <pic:spPr>
                    <a:xfrm>
                      <a:off x="0" y="0"/>
                      <a:ext cx="3837397" cy="2671922"/>
                    </a:xfrm>
                    <a:prstGeom prst="rect">
                      <a:avLst/>
                    </a:prstGeom>
                  </pic:spPr>
                </pic:pic>
              </a:graphicData>
            </a:graphic>
          </wp:inline>
        </w:drawing>
      </w:r>
      <w:r w:rsidRPr="002430CF">
        <w:rPr>
          <w:rFonts w:ascii="Baskerville Old Face" w:hAnsi="Baskerville Old Face" w:cs="Times New Roman"/>
          <w:b/>
          <w:bCs/>
          <w:i/>
          <w:iCs/>
          <w:sz w:val="20"/>
          <w:szCs w:val="20"/>
        </w:rPr>
        <w:br/>
      </w:r>
      <w:r w:rsidRPr="00110490">
        <w:rPr>
          <w:rFonts w:ascii="Times New Roman" w:hAnsi="Times New Roman" w:cs="Times New Roman"/>
          <w:sz w:val="20"/>
          <w:szCs w:val="20"/>
        </w:rPr>
        <w:t>Fonte: Do próprio autor.</w:t>
      </w:r>
    </w:p>
    <w:p w14:paraId="27F07D00" w14:textId="77777777" w:rsidR="00110490" w:rsidRPr="00843723" w:rsidRDefault="00110490" w:rsidP="00843723">
      <w:pPr>
        <w:pStyle w:val="PargrafodaLista"/>
        <w:spacing w:line="360" w:lineRule="auto"/>
        <w:ind w:left="0"/>
        <w:contextualSpacing w:val="0"/>
        <w:jc w:val="center"/>
        <w:rPr>
          <w:rFonts w:ascii="Times New Roman" w:hAnsi="Times New Roman" w:cs="Times New Roman"/>
        </w:rPr>
      </w:pPr>
    </w:p>
    <w:p w14:paraId="5E64B4C9" w14:textId="77777777" w:rsidR="00110490" w:rsidRDefault="00843723" w:rsidP="00110490">
      <w:pPr>
        <w:spacing w:before="0" w:line="360" w:lineRule="auto"/>
        <w:ind w:firstLine="340"/>
        <w:jc w:val="both"/>
        <w:rPr>
          <w:rFonts w:ascii="Times New Roman" w:hAnsi="Times New Roman" w:cs="Times New Roman"/>
          <w:sz w:val="24"/>
          <w:szCs w:val="24"/>
        </w:rPr>
      </w:pPr>
      <w:r w:rsidRPr="00843723">
        <w:rPr>
          <w:rFonts w:ascii="Times New Roman" w:hAnsi="Times New Roman" w:cs="Times New Roman"/>
          <w:sz w:val="24"/>
          <w:szCs w:val="24"/>
        </w:rPr>
        <w:t xml:space="preserve">Neste trecho, usar-se-á a técnica analítica do exame de cada contorno em isolado sem o uso de tabela, numerando em 0 (zero) a altura mais grave e a numeração mais aguda a partir do que houver. Foi escolhido um dos contornos para ser examinado: &lt; 2 3 0 1 0 1 </w:t>
      </w:r>
      <w:r w:rsidRPr="00843723">
        <w:rPr>
          <w:rFonts w:ascii="Times New Roman" w:hAnsi="Times New Roman" w:cs="Times New Roman"/>
          <w:sz w:val="24"/>
          <w:szCs w:val="24"/>
        </w:rPr>
        <w:lastRenderedPageBreak/>
        <w:t xml:space="preserve">2 2 &gt; (&lt; + - + - + + 0 &gt;). Um contorno com declives, mas bem linear, como pode ser observado na análise no </w:t>
      </w:r>
      <w:proofErr w:type="spellStart"/>
      <w:r w:rsidRPr="00843723">
        <w:rPr>
          <w:rFonts w:ascii="Times New Roman" w:hAnsi="Times New Roman" w:cs="Times New Roman"/>
          <w:i/>
          <w:iCs/>
          <w:sz w:val="24"/>
          <w:szCs w:val="24"/>
        </w:rPr>
        <w:t>Zarlino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(fig. 2)</w:t>
      </w:r>
      <w:r w:rsidRPr="00843723">
        <w:rPr>
          <w:rFonts w:ascii="Times New Roman" w:hAnsi="Times New Roman" w:cs="Times New Roman"/>
          <w:sz w:val="24"/>
          <w:szCs w:val="24"/>
        </w:rPr>
        <w:t>.</w:t>
      </w:r>
    </w:p>
    <w:p w14:paraId="00312D90" w14:textId="56BE5236" w:rsidR="00843723" w:rsidRDefault="00843723" w:rsidP="00110490">
      <w:pPr>
        <w:spacing w:before="0" w:line="360" w:lineRule="auto"/>
        <w:ind w:firstLine="340"/>
        <w:jc w:val="both"/>
        <w:rPr>
          <w:rFonts w:ascii="Times New Roman" w:hAnsi="Times New Roman" w:cs="Times New Roman"/>
          <w:sz w:val="24"/>
          <w:szCs w:val="24"/>
        </w:rPr>
      </w:pPr>
      <w:r w:rsidRPr="00843723">
        <w:rPr>
          <w:rFonts w:ascii="Times New Roman" w:hAnsi="Times New Roman" w:cs="Times New Roman"/>
          <w:sz w:val="24"/>
          <w:szCs w:val="24"/>
        </w:rPr>
        <w:t xml:space="preserve"> </w:t>
      </w:r>
    </w:p>
    <w:p w14:paraId="79AD9B04" w14:textId="47767FD5" w:rsidR="00843723" w:rsidRPr="00110490" w:rsidRDefault="00843723" w:rsidP="00110490">
      <w:pPr>
        <w:spacing w:before="0" w:line="240" w:lineRule="auto"/>
        <w:jc w:val="center"/>
        <w:rPr>
          <w:rFonts w:ascii="Times New Roman" w:hAnsi="Times New Roman" w:cs="Times New Roman"/>
        </w:rPr>
      </w:pPr>
      <w:r w:rsidRPr="00110490">
        <w:rPr>
          <w:rFonts w:ascii="Times New Roman" w:hAnsi="Times New Roman" w:cs="Times New Roman"/>
          <w:b/>
          <w:bCs/>
          <w:sz w:val="20"/>
          <w:szCs w:val="20"/>
        </w:rPr>
        <w:t>Figura 2 – Análise do contorno &lt; 2 3 0 1 0 1 2 2 &gt;</w:t>
      </w:r>
    </w:p>
    <w:p w14:paraId="1420E104" w14:textId="77777777" w:rsidR="00843723" w:rsidRDefault="00843723" w:rsidP="00110490">
      <w:pPr>
        <w:spacing w:before="0" w:line="240" w:lineRule="auto"/>
        <w:jc w:val="center"/>
        <w:rPr>
          <w:rFonts w:ascii="Times New Roman" w:hAnsi="Times New Roman" w:cs="Times New Roman"/>
          <w:color w:val="000000" w:themeColor="text1"/>
          <w:sz w:val="20"/>
          <w:szCs w:val="20"/>
        </w:rPr>
      </w:pPr>
      <w:r w:rsidRPr="002430CF">
        <w:rPr>
          <w:rFonts w:ascii="Baskerville Old Face" w:hAnsi="Baskerville Old Face"/>
          <w:noProof/>
        </w:rPr>
        <w:drawing>
          <wp:inline distT="0" distB="0" distL="0" distR="0" wp14:anchorId="46D512D7" wp14:editId="7740A4DC">
            <wp:extent cx="3235656" cy="1690061"/>
            <wp:effectExtent l="0" t="0" r="3175" b="5715"/>
            <wp:docPr id="1518131164"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31164" name="Imagem 1" descr="Gráfico, Gráfico de linhas&#10;&#10;Descrição gerada automaticamente"/>
                    <pic:cNvPicPr/>
                  </pic:nvPicPr>
                  <pic:blipFill>
                    <a:blip r:embed="rId6"/>
                    <a:stretch>
                      <a:fillRect/>
                    </a:stretch>
                  </pic:blipFill>
                  <pic:spPr>
                    <a:xfrm>
                      <a:off x="0" y="0"/>
                      <a:ext cx="3252026" cy="1698612"/>
                    </a:xfrm>
                    <a:prstGeom prst="rect">
                      <a:avLst/>
                    </a:prstGeom>
                  </pic:spPr>
                </pic:pic>
              </a:graphicData>
            </a:graphic>
          </wp:inline>
        </w:drawing>
      </w:r>
      <w:r w:rsidRPr="002430CF">
        <w:rPr>
          <w:rFonts w:ascii="Baskerville Old Face" w:hAnsi="Baskerville Old Face" w:cs="Times New Roman"/>
        </w:rPr>
        <w:br/>
      </w:r>
      <w:r w:rsidRPr="00110490">
        <w:rPr>
          <w:rFonts w:ascii="Times New Roman" w:hAnsi="Times New Roman" w:cs="Times New Roman"/>
          <w:color w:val="000000" w:themeColor="text1"/>
          <w:sz w:val="20"/>
          <w:szCs w:val="20"/>
        </w:rPr>
        <w:t xml:space="preserve">Fonte: </w:t>
      </w:r>
      <w:proofErr w:type="spellStart"/>
      <w:r w:rsidRPr="00110490">
        <w:rPr>
          <w:rFonts w:ascii="Times New Roman" w:hAnsi="Times New Roman" w:cs="Times New Roman"/>
          <w:i/>
          <w:iCs/>
          <w:sz w:val="20"/>
          <w:szCs w:val="20"/>
        </w:rPr>
        <w:t>Zarlino</w:t>
      </w:r>
      <w:proofErr w:type="spellEnd"/>
      <w:r w:rsidRPr="00110490">
        <w:rPr>
          <w:rFonts w:ascii="Times New Roman" w:hAnsi="Times New Roman" w:cs="Times New Roman"/>
          <w:sz w:val="20"/>
          <w:szCs w:val="20"/>
        </w:rPr>
        <w:t xml:space="preserve">, </w:t>
      </w:r>
      <w:hyperlink r:id="rId7" w:history="1">
        <w:r w:rsidRPr="00110490">
          <w:rPr>
            <w:rStyle w:val="Hyperlink"/>
            <w:rFonts w:ascii="Times New Roman" w:hAnsi="Times New Roman" w:cs="Times New Roman"/>
            <w:color w:val="auto"/>
            <w:sz w:val="20"/>
            <w:szCs w:val="20"/>
          </w:rPr>
          <w:t>https://zsuite.sampaio.me/pt-br/</w:t>
        </w:r>
      </w:hyperlink>
      <w:r w:rsidRPr="00110490">
        <w:rPr>
          <w:rFonts w:ascii="Times New Roman" w:hAnsi="Times New Roman" w:cs="Times New Roman"/>
          <w:color w:val="000000" w:themeColor="text1"/>
          <w:sz w:val="20"/>
          <w:szCs w:val="20"/>
        </w:rPr>
        <w:t>, 2024.</w:t>
      </w:r>
    </w:p>
    <w:p w14:paraId="6DA1CE01" w14:textId="77777777" w:rsidR="00110490" w:rsidRPr="00110490" w:rsidRDefault="00110490" w:rsidP="00110490">
      <w:pPr>
        <w:spacing w:before="0" w:line="240" w:lineRule="auto"/>
        <w:jc w:val="center"/>
        <w:rPr>
          <w:rFonts w:ascii="Times New Roman" w:hAnsi="Times New Roman" w:cs="Times New Roman"/>
          <w:sz w:val="20"/>
          <w:szCs w:val="20"/>
        </w:rPr>
      </w:pPr>
    </w:p>
    <w:p w14:paraId="4C65225B" w14:textId="77777777" w:rsidR="00843723" w:rsidRPr="00110490" w:rsidRDefault="00843723" w:rsidP="00110490">
      <w:pPr>
        <w:spacing w:before="0" w:line="360" w:lineRule="auto"/>
        <w:ind w:firstLine="340"/>
        <w:jc w:val="both"/>
        <w:rPr>
          <w:rFonts w:ascii="Times New Roman" w:hAnsi="Times New Roman" w:cs="Times New Roman"/>
          <w:sz w:val="24"/>
          <w:szCs w:val="24"/>
        </w:rPr>
      </w:pPr>
      <w:r w:rsidRPr="00110490">
        <w:rPr>
          <w:rFonts w:ascii="Times New Roman" w:hAnsi="Times New Roman" w:cs="Times New Roman"/>
          <w:sz w:val="24"/>
          <w:szCs w:val="24"/>
        </w:rPr>
        <w:t>Um intérprete que eventualmente observar um contorno como este e optar por uma abordagem mais estrita no sentido de perceber com quais alturas pode lidar através da eleição de pontos e sua respectiva numeração. A duração pedida é a de 4min30, e o que isso pode significar para um intérprete que eleger esse contorno? Sucessivas variações sobre esse mesmo contorno no acompanhamento (ou não) à harmonização e à rítmica da canção. O contorno pode ser trabalhado em suas operações de reflexão (retrógado, inversão, retrógado da inversão) e, por se posicionar numa localização mais alta, sua execução pode ser pensada em regiões mais agudas. E essa mesma técnica de análise pode ser aplicada para outros contornos de parâmetros indeterminados presentes na mesma peça, observando visualmente os pontos de cada contorno.</w:t>
      </w:r>
    </w:p>
    <w:p w14:paraId="5EE3D6F9" w14:textId="2E5B3260" w:rsidR="00843723" w:rsidRPr="00110490" w:rsidRDefault="00843723" w:rsidP="00110490">
      <w:pPr>
        <w:spacing w:before="0" w:line="360" w:lineRule="auto"/>
        <w:ind w:firstLine="340"/>
        <w:jc w:val="both"/>
        <w:rPr>
          <w:rFonts w:ascii="Times New Roman" w:hAnsi="Times New Roman" w:cs="Times New Roman"/>
          <w:sz w:val="24"/>
          <w:szCs w:val="24"/>
        </w:rPr>
      </w:pPr>
      <w:r w:rsidRPr="00110490">
        <w:rPr>
          <w:rFonts w:ascii="Times New Roman" w:hAnsi="Times New Roman" w:cs="Times New Roman"/>
          <w:sz w:val="24"/>
          <w:szCs w:val="24"/>
        </w:rPr>
        <w:t xml:space="preserve">O trecho seguinte é o da primeira parte (fig. </w:t>
      </w:r>
      <w:r w:rsidR="00110490">
        <w:rPr>
          <w:rFonts w:ascii="Times New Roman" w:hAnsi="Times New Roman" w:cs="Times New Roman"/>
          <w:sz w:val="24"/>
          <w:szCs w:val="24"/>
        </w:rPr>
        <w:t>3</w:t>
      </w:r>
      <w:r w:rsidRPr="00110490">
        <w:rPr>
          <w:rFonts w:ascii="Times New Roman" w:hAnsi="Times New Roman" w:cs="Times New Roman"/>
          <w:sz w:val="24"/>
          <w:szCs w:val="24"/>
        </w:rPr>
        <w:t xml:space="preserve">), que foi escrita em partitura gráfica e designada para os instrumentos de sopro e as vozes que procuram interpretar </w:t>
      </w:r>
      <w:proofErr w:type="spellStart"/>
      <w:r w:rsidRPr="00110490">
        <w:rPr>
          <w:rFonts w:ascii="Times New Roman" w:hAnsi="Times New Roman" w:cs="Times New Roman"/>
          <w:sz w:val="24"/>
          <w:szCs w:val="24"/>
        </w:rPr>
        <w:t>improvisativamente</w:t>
      </w:r>
      <w:proofErr w:type="spellEnd"/>
      <w:r w:rsidRPr="00110490">
        <w:rPr>
          <w:rFonts w:ascii="Times New Roman" w:hAnsi="Times New Roman" w:cs="Times New Roman"/>
          <w:sz w:val="24"/>
          <w:szCs w:val="24"/>
        </w:rPr>
        <w:t xml:space="preserve"> os contornos traçados sobre o areal. Mas, até mesmo sem numerar ou mensurar suas alturas, podemos observar os comportamentos de contornos de parâmetros indeterminados através das suas representações lineares</w:t>
      </w:r>
      <w:r w:rsidR="00110490">
        <w:rPr>
          <w:rFonts w:ascii="Times New Roman" w:hAnsi="Times New Roman" w:cs="Times New Roman"/>
          <w:sz w:val="24"/>
          <w:szCs w:val="24"/>
        </w:rPr>
        <w:t>.</w:t>
      </w:r>
      <w:r w:rsidRPr="00110490">
        <w:rPr>
          <w:rFonts w:ascii="Times New Roman" w:hAnsi="Times New Roman" w:cs="Times New Roman"/>
          <w:sz w:val="24"/>
          <w:szCs w:val="24"/>
        </w:rPr>
        <w:t xml:space="preserve"> Como se trata de contornos ainda mais extensos, sugere-se inserir pontos. Claro, há a desvantagem de não se obter uma noção mais apurada sobre como pensar ritmicamente, mas o desafio das intuições melódica e rítmica a partir da simples observação da linha traçada em cada ponto do contorno é incrementado.</w:t>
      </w:r>
    </w:p>
    <w:p w14:paraId="022C5DB0" w14:textId="77777777" w:rsidR="00110490" w:rsidRDefault="00110490">
      <w:pPr>
        <w:autoSpaceDE/>
        <w:autoSpaceDN/>
        <w:spacing w:before="0" w:after="160" w:line="259" w:lineRule="auto"/>
        <w:rPr>
          <w:rFonts w:ascii="Times New Roman" w:eastAsiaTheme="minorHAnsi" w:hAnsi="Times New Roman" w:cs="Times New Roman"/>
          <w:b/>
          <w:bCs/>
          <w:color w:val="000000" w:themeColor="text1"/>
          <w:sz w:val="20"/>
          <w:szCs w:val="20"/>
          <w:lang w:eastAsia="en-US"/>
        </w:rPr>
      </w:pPr>
      <w:r>
        <w:rPr>
          <w:rFonts w:ascii="Times New Roman" w:hAnsi="Times New Roman" w:cs="Times New Roman"/>
          <w:b/>
          <w:bCs/>
          <w:sz w:val="20"/>
          <w:szCs w:val="20"/>
        </w:rPr>
        <w:br w:type="page"/>
      </w:r>
    </w:p>
    <w:p w14:paraId="65BAE718" w14:textId="7BA84A03" w:rsidR="00843723" w:rsidRDefault="00843723" w:rsidP="00110490">
      <w:pPr>
        <w:pStyle w:val="alnea"/>
        <w:numPr>
          <w:ilvl w:val="0"/>
          <w:numId w:val="0"/>
        </w:numPr>
        <w:spacing w:before="240" w:after="120" w:line="240" w:lineRule="auto"/>
        <w:jc w:val="center"/>
        <w:rPr>
          <w:rFonts w:ascii="Times New Roman" w:hAnsi="Times New Roman" w:cs="Times New Roman"/>
          <w:b/>
          <w:bCs/>
          <w:sz w:val="20"/>
          <w:szCs w:val="20"/>
        </w:rPr>
      </w:pPr>
      <w:r w:rsidRPr="00110490">
        <w:rPr>
          <w:rFonts w:ascii="Times New Roman" w:hAnsi="Times New Roman" w:cs="Times New Roman"/>
          <w:b/>
          <w:bCs/>
          <w:sz w:val="20"/>
          <w:szCs w:val="20"/>
        </w:rPr>
        <w:lastRenderedPageBreak/>
        <w:t xml:space="preserve">Figura </w:t>
      </w:r>
      <w:r w:rsidR="00110490">
        <w:rPr>
          <w:rFonts w:ascii="Times New Roman" w:hAnsi="Times New Roman" w:cs="Times New Roman"/>
          <w:b/>
          <w:bCs/>
          <w:sz w:val="20"/>
          <w:szCs w:val="20"/>
        </w:rPr>
        <w:t>3</w:t>
      </w:r>
      <w:r w:rsidRPr="00110490">
        <w:rPr>
          <w:rFonts w:ascii="Times New Roman" w:hAnsi="Times New Roman" w:cs="Times New Roman"/>
          <w:b/>
          <w:bCs/>
          <w:sz w:val="20"/>
          <w:szCs w:val="20"/>
        </w:rPr>
        <w:t xml:space="preserve"> – Trecho de </w:t>
      </w:r>
      <w:r w:rsidRPr="00110490">
        <w:rPr>
          <w:rFonts w:ascii="Times New Roman" w:hAnsi="Times New Roman" w:cs="Times New Roman"/>
          <w:b/>
          <w:bCs/>
          <w:i/>
          <w:iCs/>
          <w:sz w:val="20"/>
          <w:szCs w:val="20"/>
        </w:rPr>
        <w:t xml:space="preserve">A Nova Lenda do Abaeté </w:t>
      </w:r>
      <w:r w:rsidRPr="00110490">
        <w:rPr>
          <w:rFonts w:ascii="Times New Roman" w:hAnsi="Times New Roman" w:cs="Times New Roman"/>
          <w:b/>
          <w:bCs/>
          <w:sz w:val="20"/>
          <w:szCs w:val="20"/>
        </w:rPr>
        <w:t>e respectiva análise de um dos contornos em representação linear</w:t>
      </w:r>
      <w:r w:rsidRPr="00771FA6">
        <w:rPr>
          <w:rFonts w:ascii="Times New Roman" w:hAnsi="Times New Roman" w:cs="Times New Roman"/>
          <w:b/>
          <w:bCs/>
          <w:i/>
          <w:iCs/>
          <w:sz w:val="20"/>
          <w:szCs w:val="20"/>
        </w:rPr>
        <w:br/>
      </w:r>
      <w:r w:rsidRPr="00771FA6">
        <w:rPr>
          <w:rFonts w:ascii="Times New Roman" w:hAnsi="Times New Roman" w:cs="Times New Roman"/>
          <w:noProof/>
          <w:lang w:val="en-US"/>
        </w:rPr>
        <w:drawing>
          <wp:inline distT="0" distB="0" distL="0" distR="0" wp14:anchorId="06017533" wp14:editId="00F9E0F3">
            <wp:extent cx="2857500" cy="2038324"/>
            <wp:effectExtent l="0" t="0" r="0" b="635"/>
            <wp:docPr id="9" name="Imagem 8" descr="Mapa com linhas pretas em fundo branco&#10;&#10;Descrição gerada automaticamente com confiança média">
              <a:extLst xmlns:a="http://schemas.openxmlformats.org/drawingml/2006/main">
                <a:ext uri="{FF2B5EF4-FFF2-40B4-BE49-F238E27FC236}">
                  <a16:creationId xmlns:a16="http://schemas.microsoft.com/office/drawing/2014/main" id="{C7E76B41-8774-E76E-B18B-8A6A1CCF1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Mapa com linhas pretas em fundo branco&#10;&#10;Descrição gerada automaticamente com confiança média">
                      <a:extLst>
                        <a:ext uri="{FF2B5EF4-FFF2-40B4-BE49-F238E27FC236}">
                          <a16:creationId xmlns:a16="http://schemas.microsoft.com/office/drawing/2014/main" id="{C7E76B41-8774-E76E-B18B-8A6A1CCF14B5}"/>
                        </a:ext>
                      </a:extLst>
                    </pic:cNvPr>
                    <pic:cNvPicPr>
                      <a:picLocks noChangeAspect="1"/>
                    </pic:cNvPicPr>
                  </pic:nvPicPr>
                  <pic:blipFill>
                    <a:blip r:embed="rId8"/>
                    <a:stretch>
                      <a:fillRect/>
                    </a:stretch>
                  </pic:blipFill>
                  <pic:spPr>
                    <a:xfrm>
                      <a:off x="0" y="0"/>
                      <a:ext cx="2882507" cy="2056162"/>
                    </a:xfrm>
                    <a:prstGeom prst="rect">
                      <a:avLst/>
                    </a:prstGeom>
                  </pic:spPr>
                </pic:pic>
              </a:graphicData>
            </a:graphic>
          </wp:inline>
        </w:drawing>
      </w:r>
    </w:p>
    <w:p w14:paraId="4E407F5A" w14:textId="77777777" w:rsidR="00843723" w:rsidRPr="00110490" w:rsidRDefault="00843723" w:rsidP="00110490">
      <w:pPr>
        <w:pStyle w:val="alnea"/>
        <w:numPr>
          <w:ilvl w:val="0"/>
          <w:numId w:val="0"/>
        </w:numPr>
        <w:spacing w:before="60" w:after="240" w:line="240" w:lineRule="auto"/>
        <w:ind w:left="471" w:right="567"/>
        <w:jc w:val="center"/>
        <w:rPr>
          <w:rFonts w:ascii="Times New Roman" w:hAnsi="Times New Roman" w:cs="Times New Roman"/>
          <w:sz w:val="20"/>
          <w:szCs w:val="20"/>
        </w:rPr>
      </w:pPr>
      <w:r>
        <w:rPr>
          <w:noProof/>
        </w:rPr>
        <w:drawing>
          <wp:inline distT="0" distB="0" distL="0" distR="0" wp14:anchorId="0D377F54" wp14:editId="251C8413">
            <wp:extent cx="5336005" cy="1624743"/>
            <wp:effectExtent l="0" t="0" r="0" b="0"/>
            <wp:docPr id="63288592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5921" name="Imagem 1" descr="Mapa&#10;&#10;Descrição gerada automaticamente"/>
                    <pic:cNvPicPr/>
                  </pic:nvPicPr>
                  <pic:blipFill>
                    <a:blip r:embed="rId9"/>
                    <a:stretch>
                      <a:fillRect/>
                    </a:stretch>
                  </pic:blipFill>
                  <pic:spPr>
                    <a:xfrm>
                      <a:off x="0" y="0"/>
                      <a:ext cx="5344162" cy="1627227"/>
                    </a:xfrm>
                    <a:prstGeom prst="rect">
                      <a:avLst/>
                    </a:prstGeom>
                  </pic:spPr>
                </pic:pic>
              </a:graphicData>
            </a:graphic>
          </wp:inline>
        </w:drawing>
      </w:r>
      <w:r w:rsidRPr="00771FA6">
        <w:rPr>
          <w:rFonts w:ascii="Times New Roman" w:hAnsi="Times New Roman" w:cs="Times New Roman"/>
          <w:b/>
          <w:bCs/>
          <w:i/>
          <w:iCs/>
          <w:sz w:val="20"/>
          <w:szCs w:val="20"/>
        </w:rPr>
        <w:br/>
      </w:r>
      <w:r w:rsidRPr="00110490">
        <w:rPr>
          <w:rFonts w:ascii="Times New Roman" w:hAnsi="Times New Roman" w:cs="Times New Roman"/>
          <w:sz w:val="20"/>
          <w:szCs w:val="20"/>
        </w:rPr>
        <w:t>Fonte: Do próprio autor.</w:t>
      </w:r>
    </w:p>
    <w:p w14:paraId="7EB8B576" w14:textId="77777777" w:rsidR="00843723" w:rsidRDefault="00843723">
      <w:pPr>
        <w:rPr>
          <w:rFonts w:ascii="Times New Roman" w:hAnsi="Times New Roman" w:cs="Times New Roman"/>
          <w:b/>
          <w:bCs/>
          <w:sz w:val="24"/>
          <w:szCs w:val="24"/>
        </w:rPr>
      </w:pPr>
    </w:p>
    <w:p w14:paraId="6F06B430" w14:textId="17C521F8" w:rsidR="00110490" w:rsidRDefault="00110490">
      <w:pPr>
        <w:rPr>
          <w:rFonts w:ascii="Times New Roman" w:hAnsi="Times New Roman" w:cs="Times New Roman"/>
          <w:b/>
          <w:bCs/>
          <w:sz w:val="24"/>
          <w:szCs w:val="24"/>
        </w:rPr>
      </w:pPr>
      <w:r>
        <w:rPr>
          <w:rFonts w:ascii="Times New Roman" w:hAnsi="Times New Roman" w:cs="Times New Roman"/>
          <w:b/>
          <w:bCs/>
          <w:sz w:val="24"/>
          <w:szCs w:val="24"/>
        </w:rPr>
        <w:t>REFERÊNCIAS BIBLIOGRÁFICAS</w:t>
      </w:r>
    </w:p>
    <w:p w14:paraId="0B2A759B" w14:textId="77777777" w:rsidR="00110490" w:rsidRPr="00B31C36" w:rsidRDefault="00110490" w:rsidP="00110490">
      <w:pPr>
        <w:tabs>
          <w:tab w:val="left" w:pos="6150"/>
        </w:tabs>
        <w:spacing w:after="240"/>
        <w:rPr>
          <w:rFonts w:ascii="Times New Roman" w:hAnsi="Times New Roman" w:cs="Times New Roman"/>
          <w:bCs/>
          <w:sz w:val="24"/>
          <w:szCs w:val="24"/>
        </w:rPr>
      </w:pPr>
    </w:p>
    <w:p w14:paraId="70D665C7" w14:textId="051B80D7" w:rsidR="00110490" w:rsidRPr="009A1A20" w:rsidRDefault="00110490" w:rsidP="00110490">
      <w:pPr>
        <w:tabs>
          <w:tab w:val="left" w:pos="6150"/>
        </w:tabs>
        <w:spacing w:after="240"/>
        <w:rPr>
          <w:rFonts w:ascii="Times New Roman" w:hAnsi="Times New Roman" w:cs="Times New Roman"/>
          <w:bCs/>
          <w:sz w:val="24"/>
          <w:szCs w:val="24"/>
        </w:rPr>
      </w:pPr>
      <w:r w:rsidRPr="009A1A20">
        <w:rPr>
          <w:rFonts w:ascii="Times New Roman" w:hAnsi="Times New Roman" w:cs="Times New Roman"/>
          <w:bCs/>
          <w:sz w:val="24"/>
          <w:szCs w:val="24"/>
          <w:lang w:val="en-US"/>
        </w:rPr>
        <w:t>BHAGWATI, Sandeep et al.</w:t>
      </w:r>
      <w:r w:rsidRPr="009A1A20">
        <w:rPr>
          <w:rFonts w:ascii="Times New Roman" w:hAnsi="Times New Roman" w:cs="Times New Roman"/>
          <w:bCs/>
          <w:i/>
          <w:iCs/>
          <w:sz w:val="24"/>
          <w:szCs w:val="24"/>
          <w:lang w:val="en-US"/>
        </w:rPr>
        <w:t xml:space="preserve"> </w:t>
      </w:r>
      <w:r w:rsidRPr="00B31C36">
        <w:rPr>
          <w:rFonts w:ascii="Times New Roman" w:hAnsi="Times New Roman" w:cs="Times New Roman"/>
          <w:bCs/>
          <w:i/>
          <w:iCs/>
          <w:sz w:val="24"/>
          <w:szCs w:val="24"/>
          <w:lang w:val="en-US"/>
        </w:rPr>
        <w:t>Notational Perspective and Comprovisation.</w:t>
      </w:r>
      <w:r w:rsidRPr="00B31C36">
        <w:rPr>
          <w:rFonts w:ascii="Times New Roman" w:hAnsi="Times New Roman" w:cs="Times New Roman"/>
          <w:bCs/>
          <w:sz w:val="24"/>
          <w:szCs w:val="24"/>
          <w:lang w:val="en-US"/>
        </w:rPr>
        <w:t xml:space="preserve"> </w:t>
      </w:r>
      <w:r w:rsidRPr="00B31C36">
        <w:rPr>
          <w:rFonts w:ascii="Times New Roman" w:hAnsi="Times New Roman" w:cs="Times New Roman"/>
          <w:bCs/>
          <w:i/>
          <w:iCs/>
          <w:sz w:val="24"/>
          <w:szCs w:val="24"/>
          <w:lang w:val="en-US"/>
        </w:rPr>
        <w:t>In:</w:t>
      </w:r>
      <w:r w:rsidRPr="00B31C36">
        <w:rPr>
          <w:rFonts w:ascii="Times New Roman" w:hAnsi="Times New Roman" w:cs="Times New Roman"/>
          <w:bCs/>
          <w:sz w:val="24"/>
          <w:szCs w:val="24"/>
          <w:lang w:val="en-US"/>
        </w:rPr>
        <w:t xml:space="preserve"> </w:t>
      </w:r>
      <w:r w:rsidRPr="00B31C36">
        <w:rPr>
          <w:rFonts w:ascii="Times New Roman" w:hAnsi="Times New Roman" w:cs="Times New Roman"/>
          <w:b/>
          <w:sz w:val="24"/>
          <w:szCs w:val="24"/>
          <w:lang w:val="en-US"/>
        </w:rPr>
        <w:t xml:space="preserve">Sound and Score: Essays on Sound Score. </w:t>
      </w:r>
      <w:proofErr w:type="spellStart"/>
      <w:r w:rsidRPr="00B31C36">
        <w:rPr>
          <w:rFonts w:ascii="Times New Roman" w:hAnsi="Times New Roman" w:cs="Times New Roman"/>
          <w:bCs/>
          <w:sz w:val="24"/>
          <w:szCs w:val="24"/>
          <w:lang w:val="en-US"/>
        </w:rPr>
        <w:t>Edição</w:t>
      </w:r>
      <w:proofErr w:type="spellEnd"/>
      <w:r w:rsidRPr="00B31C36">
        <w:rPr>
          <w:rFonts w:ascii="Times New Roman" w:hAnsi="Times New Roman" w:cs="Times New Roman"/>
          <w:bCs/>
          <w:sz w:val="24"/>
          <w:szCs w:val="24"/>
          <w:lang w:val="en-US"/>
        </w:rPr>
        <w:t xml:space="preserve"> </w:t>
      </w:r>
      <w:proofErr w:type="spellStart"/>
      <w:r w:rsidRPr="00B31C36">
        <w:rPr>
          <w:rFonts w:ascii="Times New Roman" w:hAnsi="Times New Roman" w:cs="Times New Roman"/>
          <w:bCs/>
          <w:sz w:val="24"/>
          <w:szCs w:val="24"/>
          <w:lang w:val="en-US"/>
        </w:rPr>
        <w:t>por</w:t>
      </w:r>
      <w:proofErr w:type="spellEnd"/>
      <w:r w:rsidRPr="00B31C36">
        <w:rPr>
          <w:rFonts w:ascii="Times New Roman" w:hAnsi="Times New Roman" w:cs="Times New Roman"/>
          <w:bCs/>
          <w:sz w:val="24"/>
          <w:szCs w:val="24"/>
          <w:lang w:val="en-US"/>
        </w:rPr>
        <w:t xml:space="preserve"> Paulo de Assis, William Brooks, Kathleen </w:t>
      </w:r>
      <w:proofErr w:type="spellStart"/>
      <w:r w:rsidRPr="00B31C36">
        <w:rPr>
          <w:rFonts w:ascii="Times New Roman" w:hAnsi="Times New Roman" w:cs="Times New Roman"/>
          <w:bCs/>
          <w:sz w:val="24"/>
          <w:szCs w:val="24"/>
          <w:lang w:val="en-US"/>
        </w:rPr>
        <w:t>Coessens</w:t>
      </w:r>
      <w:proofErr w:type="spellEnd"/>
      <w:r w:rsidRPr="00B31C36">
        <w:rPr>
          <w:rFonts w:ascii="Times New Roman" w:hAnsi="Times New Roman" w:cs="Times New Roman"/>
          <w:bCs/>
          <w:sz w:val="24"/>
          <w:szCs w:val="24"/>
          <w:lang w:val="en-US"/>
        </w:rPr>
        <w:t xml:space="preserve">. </w:t>
      </w:r>
      <w:r w:rsidRPr="009A1A20">
        <w:rPr>
          <w:rFonts w:ascii="Times New Roman" w:hAnsi="Times New Roman" w:cs="Times New Roman"/>
          <w:bCs/>
          <w:sz w:val="24"/>
          <w:szCs w:val="24"/>
        </w:rPr>
        <w:t xml:space="preserve">Leuven: Leuven </w:t>
      </w:r>
      <w:proofErr w:type="spellStart"/>
      <w:r w:rsidRPr="009A1A20">
        <w:rPr>
          <w:rFonts w:ascii="Times New Roman" w:hAnsi="Times New Roman" w:cs="Times New Roman"/>
          <w:bCs/>
          <w:sz w:val="24"/>
          <w:szCs w:val="24"/>
        </w:rPr>
        <w:t>University</w:t>
      </w:r>
      <w:proofErr w:type="spellEnd"/>
      <w:r w:rsidRPr="009A1A20">
        <w:rPr>
          <w:rFonts w:ascii="Times New Roman" w:hAnsi="Times New Roman" w:cs="Times New Roman"/>
          <w:bCs/>
          <w:sz w:val="24"/>
          <w:szCs w:val="24"/>
        </w:rPr>
        <w:t xml:space="preserve"> Press, 2013.</w:t>
      </w:r>
    </w:p>
    <w:p w14:paraId="7F979320" w14:textId="77777777" w:rsidR="00B31C36" w:rsidRPr="00B31C36" w:rsidRDefault="00B31C36" w:rsidP="00B31C36">
      <w:pPr>
        <w:tabs>
          <w:tab w:val="left" w:pos="6150"/>
        </w:tabs>
        <w:spacing w:after="240"/>
        <w:rPr>
          <w:rFonts w:ascii="Times New Roman" w:hAnsi="Times New Roman" w:cs="Times New Roman"/>
          <w:bCs/>
          <w:sz w:val="24"/>
          <w:szCs w:val="24"/>
          <w:lang w:val="en-US"/>
        </w:rPr>
      </w:pPr>
      <w:r w:rsidRPr="00B31C36">
        <w:rPr>
          <w:rFonts w:ascii="Times New Roman" w:hAnsi="Times New Roman" w:cs="Times New Roman"/>
          <w:bCs/>
          <w:sz w:val="24"/>
          <w:szCs w:val="24"/>
        </w:rPr>
        <w:t xml:space="preserve">COSTA, Rogério Luiz Moraes. </w:t>
      </w:r>
      <w:r w:rsidRPr="00B31C36">
        <w:rPr>
          <w:rFonts w:ascii="Times New Roman" w:hAnsi="Times New Roman" w:cs="Times New Roman"/>
          <w:b/>
          <w:sz w:val="24"/>
          <w:szCs w:val="24"/>
        </w:rPr>
        <w:t>Música Errante</w:t>
      </w:r>
      <w:r w:rsidRPr="00B31C36">
        <w:rPr>
          <w:rFonts w:ascii="Times New Roman" w:hAnsi="Times New Roman" w:cs="Times New Roman"/>
          <w:bCs/>
          <w:sz w:val="24"/>
          <w:szCs w:val="24"/>
        </w:rPr>
        <w:t xml:space="preserve">: o jogo da improvisação livre. </w:t>
      </w:r>
      <w:r w:rsidRPr="00B31C36">
        <w:rPr>
          <w:rFonts w:ascii="Times New Roman" w:hAnsi="Times New Roman" w:cs="Times New Roman"/>
          <w:bCs/>
          <w:sz w:val="24"/>
          <w:szCs w:val="24"/>
          <w:lang w:val="en-US"/>
        </w:rPr>
        <w:t xml:space="preserve">São Paulo: </w:t>
      </w:r>
      <w:proofErr w:type="spellStart"/>
      <w:r w:rsidRPr="00B31C36">
        <w:rPr>
          <w:rFonts w:ascii="Times New Roman" w:hAnsi="Times New Roman" w:cs="Times New Roman"/>
          <w:bCs/>
          <w:sz w:val="24"/>
          <w:szCs w:val="24"/>
          <w:lang w:val="en-US"/>
        </w:rPr>
        <w:t>Perspectiva</w:t>
      </w:r>
      <w:proofErr w:type="spellEnd"/>
      <w:r w:rsidRPr="00B31C36">
        <w:rPr>
          <w:rFonts w:ascii="Times New Roman" w:hAnsi="Times New Roman" w:cs="Times New Roman"/>
          <w:bCs/>
          <w:sz w:val="24"/>
          <w:szCs w:val="24"/>
          <w:lang w:val="en-US"/>
        </w:rPr>
        <w:t>/</w:t>
      </w:r>
      <w:proofErr w:type="spellStart"/>
      <w:r w:rsidRPr="00B31C36">
        <w:rPr>
          <w:rFonts w:ascii="Times New Roman" w:hAnsi="Times New Roman" w:cs="Times New Roman"/>
          <w:bCs/>
          <w:sz w:val="24"/>
          <w:szCs w:val="24"/>
          <w:lang w:val="en-US"/>
        </w:rPr>
        <w:t>Fapesp</w:t>
      </w:r>
      <w:proofErr w:type="spellEnd"/>
      <w:r w:rsidRPr="00B31C36">
        <w:rPr>
          <w:rFonts w:ascii="Times New Roman" w:hAnsi="Times New Roman" w:cs="Times New Roman"/>
          <w:bCs/>
          <w:sz w:val="24"/>
          <w:szCs w:val="24"/>
          <w:lang w:val="en-US"/>
        </w:rPr>
        <w:t>, 2016.</w:t>
      </w:r>
    </w:p>
    <w:p w14:paraId="12BF65A4" w14:textId="77777777" w:rsidR="00B31C36" w:rsidRPr="00B31C36" w:rsidRDefault="00B31C36" w:rsidP="00B31C36">
      <w:pPr>
        <w:spacing w:after="240"/>
        <w:jc w:val="both"/>
        <w:rPr>
          <w:rFonts w:ascii="Times New Roman" w:hAnsi="Times New Roman" w:cs="Times New Roman"/>
          <w:sz w:val="24"/>
          <w:szCs w:val="24"/>
          <w:shd w:val="clear" w:color="auto" w:fill="FFFFFF"/>
          <w:lang w:val="en-US"/>
        </w:rPr>
      </w:pPr>
      <w:r w:rsidRPr="00B31C36">
        <w:rPr>
          <w:rFonts w:ascii="Times New Roman" w:hAnsi="Times New Roman" w:cs="Times New Roman"/>
          <w:sz w:val="24"/>
          <w:szCs w:val="24"/>
          <w:shd w:val="clear" w:color="auto" w:fill="FFFFFF"/>
          <w:lang w:val="en-US"/>
        </w:rPr>
        <w:t xml:space="preserve">LEWIS, George E. </w:t>
      </w:r>
      <w:r w:rsidRPr="00B31C36">
        <w:rPr>
          <w:rFonts w:ascii="Times New Roman" w:hAnsi="Times New Roman" w:cs="Times New Roman"/>
          <w:i/>
          <w:iCs/>
          <w:sz w:val="24"/>
          <w:szCs w:val="24"/>
          <w:shd w:val="clear" w:color="auto" w:fill="FFFFFF"/>
          <w:lang w:val="en-US"/>
        </w:rPr>
        <w:t xml:space="preserve">Improvised music after 1950: </w:t>
      </w:r>
      <w:proofErr w:type="spellStart"/>
      <w:r w:rsidRPr="00B31C36">
        <w:rPr>
          <w:rFonts w:ascii="Times New Roman" w:hAnsi="Times New Roman" w:cs="Times New Roman"/>
          <w:i/>
          <w:iCs/>
          <w:sz w:val="24"/>
          <w:szCs w:val="24"/>
          <w:shd w:val="clear" w:color="auto" w:fill="FFFFFF"/>
          <w:lang w:val="en-US"/>
        </w:rPr>
        <w:t>Afrological</w:t>
      </w:r>
      <w:proofErr w:type="spellEnd"/>
      <w:r w:rsidRPr="00B31C36">
        <w:rPr>
          <w:rFonts w:ascii="Times New Roman" w:hAnsi="Times New Roman" w:cs="Times New Roman"/>
          <w:i/>
          <w:iCs/>
          <w:sz w:val="24"/>
          <w:szCs w:val="24"/>
          <w:shd w:val="clear" w:color="auto" w:fill="FFFFFF"/>
          <w:lang w:val="en-US"/>
        </w:rPr>
        <w:t xml:space="preserve"> and </w:t>
      </w:r>
      <w:proofErr w:type="spellStart"/>
      <w:r w:rsidRPr="00B31C36">
        <w:rPr>
          <w:rFonts w:ascii="Times New Roman" w:hAnsi="Times New Roman" w:cs="Times New Roman"/>
          <w:i/>
          <w:iCs/>
          <w:sz w:val="24"/>
          <w:szCs w:val="24"/>
          <w:shd w:val="clear" w:color="auto" w:fill="FFFFFF"/>
          <w:lang w:val="en-US"/>
        </w:rPr>
        <w:t>eurological</w:t>
      </w:r>
      <w:proofErr w:type="spellEnd"/>
      <w:r w:rsidRPr="00B31C36">
        <w:rPr>
          <w:rFonts w:ascii="Times New Roman" w:hAnsi="Times New Roman" w:cs="Times New Roman"/>
          <w:i/>
          <w:iCs/>
          <w:sz w:val="24"/>
          <w:szCs w:val="24"/>
          <w:shd w:val="clear" w:color="auto" w:fill="FFFFFF"/>
          <w:lang w:val="en-US"/>
        </w:rPr>
        <w:t xml:space="preserve"> perspectives,</w:t>
      </w:r>
      <w:r w:rsidRPr="00B31C36">
        <w:rPr>
          <w:rFonts w:ascii="Times New Roman" w:hAnsi="Times New Roman" w:cs="Times New Roman"/>
          <w:sz w:val="24"/>
          <w:szCs w:val="24"/>
          <w:shd w:val="clear" w:color="auto" w:fill="FFFFFF"/>
          <w:lang w:val="en-US"/>
        </w:rPr>
        <w:t xml:space="preserve"> in: </w:t>
      </w:r>
      <w:r w:rsidRPr="00B31C36">
        <w:rPr>
          <w:rFonts w:ascii="Times New Roman" w:hAnsi="Times New Roman" w:cs="Times New Roman"/>
          <w:b/>
          <w:bCs/>
          <w:sz w:val="24"/>
          <w:szCs w:val="24"/>
          <w:shd w:val="clear" w:color="auto" w:fill="FFFFFF"/>
          <w:lang w:val="en-US"/>
        </w:rPr>
        <w:t>Black Music Research Journal</w:t>
      </w:r>
      <w:r w:rsidRPr="00B31C36">
        <w:rPr>
          <w:rFonts w:ascii="Times New Roman" w:hAnsi="Times New Roman" w:cs="Times New Roman"/>
          <w:sz w:val="24"/>
          <w:szCs w:val="24"/>
          <w:shd w:val="clear" w:color="auto" w:fill="FFFFFF"/>
          <w:lang w:val="en-US"/>
        </w:rPr>
        <w:t xml:space="preserve">. Illinois: University of Illinois Press, v. 16, n. 1, pp. 91–122, 1996. </w:t>
      </w:r>
    </w:p>
    <w:p w14:paraId="12328092" w14:textId="34AFC2EF" w:rsidR="00110490" w:rsidRPr="00B31C36" w:rsidRDefault="00110490" w:rsidP="00110490">
      <w:pPr>
        <w:tabs>
          <w:tab w:val="left" w:pos="6150"/>
        </w:tabs>
        <w:spacing w:after="240"/>
        <w:rPr>
          <w:rFonts w:ascii="Times New Roman" w:hAnsi="Times New Roman" w:cs="Times New Roman"/>
          <w:sz w:val="24"/>
          <w:szCs w:val="24"/>
          <w:lang w:val="en-US"/>
        </w:rPr>
      </w:pPr>
      <w:r w:rsidRPr="00B31C36">
        <w:rPr>
          <w:rFonts w:ascii="Times New Roman" w:hAnsi="Times New Roman" w:cs="Times New Roman"/>
          <w:sz w:val="24"/>
          <w:szCs w:val="24"/>
          <w:lang w:val="en-US"/>
        </w:rPr>
        <w:t xml:space="preserve">LIMA, Paulo. </w:t>
      </w:r>
      <w:r w:rsidRPr="00B31C36">
        <w:rPr>
          <w:rFonts w:ascii="Times New Roman" w:hAnsi="Times New Roman" w:cs="Times New Roman"/>
          <w:b/>
          <w:bCs/>
          <w:sz w:val="24"/>
          <w:szCs w:val="24"/>
        </w:rPr>
        <w:t>Teoria e práticas do compor I: diálogos de invenção e ensino</w:t>
      </w:r>
      <w:r w:rsidRPr="00B31C36">
        <w:rPr>
          <w:rFonts w:ascii="Times New Roman" w:hAnsi="Times New Roman" w:cs="Times New Roman"/>
          <w:sz w:val="24"/>
          <w:szCs w:val="24"/>
        </w:rPr>
        <w:t xml:space="preserve">. </w:t>
      </w:r>
      <w:r w:rsidRPr="00B31C36">
        <w:rPr>
          <w:rFonts w:ascii="Times New Roman" w:hAnsi="Times New Roman" w:cs="Times New Roman"/>
          <w:sz w:val="24"/>
          <w:szCs w:val="24"/>
          <w:lang w:val="en-US"/>
        </w:rPr>
        <w:t>Salvador: EDUFBA, 2012.</w:t>
      </w:r>
    </w:p>
    <w:p w14:paraId="606A81BC" w14:textId="7BF29844" w:rsidR="00B31C36" w:rsidRPr="00B31C36" w:rsidRDefault="00B31C36" w:rsidP="00110490">
      <w:pPr>
        <w:tabs>
          <w:tab w:val="left" w:pos="6150"/>
        </w:tabs>
        <w:spacing w:after="240"/>
        <w:jc w:val="both"/>
        <w:rPr>
          <w:rFonts w:ascii="Times New Roman" w:hAnsi="Times New Roman" w:cs="Times New Roman"/>
          <w:sz w:val="24"/>
          <w:szCs w:val="24"/>
          <w:lang w:val="en-US"/>
        </w:rPr>
      </w:pPr>
      <w:r w:rsidRPr="00B31C36">
        <w:rPr>
          <w:rFonts w:ascii="Times New Roman" w:eastAsia="Times New Roman" w:hAnsi="Times New Roman" w:cs="Times New Roman"/>
          <w:sz w:val="24"/>
          <w:szCs w:val="24"/>
          <w:lang w:val="en-US"/>
        </w:rPr>
        <w:t xml:space="preserve">LINSON, Adam; CLARKE, Eric F. et al. </w:t>
      </w:r>
      <w:r w:rsidRPr="00B31C36">
        <w:rPr>
          <w:rFonts w:ascii="Times New Roman" w:eastAsia="Times New Roman" w:hAnsi="Times New Roman" w:cs="Times New Roman"/>
          <w:b/>
          <w:bCs/>
          <w:sz w:val="24"/>
          <w:szCs w:val="24"/>
          <w:lang w:val="en-US"/>
        </w:rPr>
        <w:t>Distributed Creativity, Collaboration and Improvisation in Contemporary Music</w:t>
      </w:r>
      <w:r w:rsidRPr="00B31C36">
        <w:rPr>
          <w:rFonts w:ascii="Times New Roman" w:eastAsia="Times New Roman" w:hAnsi="Times New Roman" w:cs="Times New Roman"/>
          <w:sz w:val="24"/>
          <w:szCs w:val="24"/>
          <w:lang w:val="en-US"/>
        </w:rPr>
        <w:t xml:space="preserve">. Eric F. Clarke and Mark </w:t>
      </w:r>
      <w:proofErr w:type="spellStart"/>
      <w:r w:rsidRPr="00B31C36">
        <w:rPr>
          <w:rFonts w:ascii="Times New Roman" w:eastAsia="Times New Roman" w:hAnsi="Times New Roman" w:cs="Times New Roman"/>
          <w:sz w:val="24"/>
          <w:szCs w:val="24"/>
          <w:lang w:val="en-US"/>
        </w:rPr>
        <w:t>Doffmann</w:t>
      </w:r>
      <w:proofErr w:type="spellEnd"/>
      <w:r w:rsidRPr="00B31C36">
        <w:rPr>
          <w:rFonts w:ascii="Times New Roman" w:eastAsia="Times New Roman" w:hAnsi="Times New Roman" w:cs="Times New Roman"/>
          <w:sz w:val="24"/>
          <w:szCs w:val="24"/>
          <w:lang w:val="en-US"/>
        </w:rPr>
        <w:t xml:space="preserve"> (eds.)</w:t>
      </w:r>
      <w:r>
        <w:rPr>
          <w:rFonts w:ascii="Times New Roman" w:eastAsia="Times New Roman" w:hAnsi="Times New Roman" w:cs="Times New Roman"/>
          <w:sz w:val="24"/>
          <w:szCs w:val="24"/>
          <w:lang w:val="en-US"/>
        </w:rPr>
        <w:t xml:space="preserve"> Oxford:</w:t>
      </w:r>
      <w:r w:rsidRPr="00B31C36">
        <w:rPr>
          <w:rFonts w:ascii="Times New Roman" w:eastAsia="Times New Roman" w:hAnsi="Times New Roman" w:cs="Times New Roman"/>
          <w:sz w:val="24"/>
          <w:szCs w:val="24"/>
          <w:lang w:val="en-US"/>
        </w:rPr>
        <w:t xml:space="preserve"> Oxford University Press, 2017.</w:t>
      </w:r>
    </w:p>
    <w:p w14:paraId="24E0166B" w14:textId="19AB6C68" w:rsidR="00110490" w:rsidRPr="00B31C36" w:rsidRDefault="00110490" w:rsidP="00110490">
      <w:pPr>
        <w:tabs>
          <w:tab w:val="left" w:pos="6150"/>
        </w:tabs>
        <w:spacing w:after="240"/>
        <w:jc w:val="both"/>
        <w:rPr>
          <w:rFonts w:ascii="Times New Roman" w:hAnsi="Times New Roman" w:cs="Times New Roman"/>
          <w:sz w:val="24"/>
          <w:szCs w:val="24"/>
        </w:rPr>
      </w:pPr>
      <w:r w:rsidRPr="00B31C36">
        <w:rPr>
          <w:rFonts w:ascii="Times New Roman" w:hAnsi="Times New Roman" w:cs="Times New Roman"/>
          <w:sz w:val="24"/>
          <w:szCs w:val="24"/>
          <w:lang w:val="en-US"/>
        </w:rPr>
        <w:t xml:space="preserve">MORRIS, Robert D. </w:t>
      </w:r>
      <w:r w:rsidRPr="00B31C36">
        <w:rPr>
          <w:rFonts w:ascii="Times New Roman" w:hAnsi="Times New Roman" w:cs="Times New Roman"/>
          <w:i/>
          <w:iCs/>
          <w:sz w:val="24"/>
          <w:szCs w:val="24"/>
          <w:lang w:val="en-US"/>
        </w:rPr>
        <w:t>New Directions in the Theory and Analysis of Musical Contour</w:t>
      </w:r>
      <w:r w:rsidRPr="00B31C36">
        <w:rPr>
          <w:rFonts w:ascii="Times New Roman" w:hAnsi="Times New Roman" w:cs="Times New Roman"/>
          <w:sz w:val="24"/>
          <w:szCs w:val="24"/>
          <w:lang w:val="en-US"/>
        </w:rPr>
        <w:t xml:space="preserve">, in: </w:t>
      </w:r>
      <w:r w:rsidRPr="00B31C36">
        <w:rPr>
          <w:rFonts w:ascii="Times New Roman" w:hAnsi="Times New Roman" w:cs="Times New Roman"/>
          <w:b/>
          <w:bCs/>
          <w:sz w:val="24"/>
          <w:szCs w:val="24"/>
          <w:lang w:val="en-US"/>
        </w:rPr>
        <w:t xml:space="preserve">Music Theory Spectrum 15. </w:t>
      </w:r>
      <w:r w:rsidRPr="00B31C36">
        <w:rPr>
          <w:rFonts w:ascii="Times New Roman" w:hAnsi="Times New Roman" w:cs="Times New Roman"/>
          <w:sz w:val="24"/>
          <w:szCs w:val="24"/>
        </w:rPr>
        <w:t xml:space="preserve">Oxford: vol. </w:t>
      </w:r>
      <w:proofErr w:type="spellStart"/>
      <w:r w:rsidRPr="00B31C36">
        <w:rPr>
          <w:rFonts w:ascii="Times New Roman" w:hAnsi="Times New Roman" w:cs="Times New Roman"/>
          <w:sz w:val="24"/>
          <w:szCs w:val="24"/>
        </w:rPr>
        <w:t>xv</w:t>
      </w:r>
      <w:proofErr w:type="spellEnd"/>
      <w:r w:rsidRPr="00B31C36">
        <w:rPr>
          <w:rFonts w:ascii="Times New Roman" w:hAnsi="Times New Roman" w:cs="Times New Roman"/>
          <w:sz w:val="24"/>
          <w:szCs w:val="24"/>
        </w:rPr>
        <w:t xml:space="preserve">, n. 2 (outubro), Oxford </w:t>
      </w:r>
      <w:proofErr w:type="spellStart"/>
      <w:r w:rsidRPr="00B31C36">
        <w:rPr>
          <w:rFonts w:ascii="Times New Roman" w:hAnsi="Times New Roman" w:cs="Times New Roman"/>
          <w:sz w:val="24"/>
          <w:szCs w:val="24"/>
        </w:rPr>
        <w:t>University</w:t>
      </w:r>
      <w:proofErr w:type="spellEnd"/>
      <w:r w:rsidRPr="00B31C36">
        <w:rPr>
          <w:rFonts w:ascii="Times New Roman" w:hAnsi="Times New Roman" w:cs="Times New Roman"/>
          <w:sz w:val="24"/>
          <w:szCs w:val="24"/>
        </w:rPr>
        <w:t xml:space="preserve"> Press, 1993, p. 205-228.</w:t>
      </w:r>
    </w:p>
    <w:p w14:paraId="651468EE" w14:textId="77777777" w:rsidR="00110490" w:rsidRDefault="00110490" w:rsidP="00110490">
      <w:pPr>
        <w:adjustRightInd w:val="0"/>
        <w:spacing w:after="240"/>
        <w:jc w:val="both"/>
        <w:rPr>
          <w:rFonts w:ascii="Times New Roman" w:hAnsi="Times New Roman" w:cs="Times New Roman"/>
          <w:sz w:val="24"/>
          <w:szCs w:val="24"/>
        </w:rPr>
      </w:pPr>
      <w:r w:rsidRPr="00B31C36">
        <w:rPr>
          <w:rFonts w:ascii="Times New Roman" w:hAnsi="Times New Roman" w:cs="Times New Roman"/>
          <w:sz w:val="24"/>
          <w:szCs w:val="24"/>
        </w:rPr>
        <w:t xml:space="preserve">SAMPAIO, Marcos de Silva. </w:t>
      </w:r>
      <w:r w:rsidRPr="00B31C36">
        <w:rPr>
          <w:rFonts w:ascii="Times New Roman" w:hAnsi="Times New Roman" w:cs="Times New Roman"/>
          <w:b/>
          <w:bCs/>
          <w:sz w:val="24"/>
          <w:szCs w:val="24"/>
        </w:rPr>
        <w:t>A Teoria de Relações de Contornos Musicais</w:t>
      </w:r>
      <w:r w:rsidRPr="00B31C36">
        <w:rPr>
          <w:rFonts w:ascii="Times New Roman" w:hAnsi="Times New Roman" w:cs="Times New Roman"/>
          <w:i/>
          <w:iCs/>
          <w:sz w:val="24"/>
          <w:szCs w:val="24"/>
        </w:rPr>
        <w:t xml:space="preserve">: </w:t>
      </w:r>
      <w:r w:rsidRPr="00B31C36">
        <w:rPr>
          <w:rFonts w:ascii="Times New Roman" w:hAnsi="Times New Roman" w:cs="Times New Roman"/>
          <w:sz w:val="24"/>
          <w:szCs w:val="24"/>
        </w:rPr>
        <w:t>Inconsistências, Soluções e Ferramentas</w:t>
      </w:r>
      <w:r w:rsidRPr="00B31C36">
        <w:rPr>
          <w:rFonts w:ascii="Times New Roman" w:hAnsi="Times New Roman" w:cs="Times New Roman"/>
          <w:i/>
          <w:iCs/>
          <w:sz w:val="24"/>
          <w:szCs w:val="24"/>
        </w:rPr>
        <w:t>.</w:t>
      </w:r>
      <w:r w:rsidRPr="00B31C36">
        <w:rPr>
          <w:rFonts w:ascii="Times New Roman" w:hAnsi="Times New Roman" w:cs="Times New Roman"/>
          <w:sz w:val="24"/>
          <w:szCs w:val="24"/>
        </w:rPr>
        <w:t xml:space="preserve"> Tese (Doutorado em Composição). Salvador: Universidade Federal da Bahia, 2012.</w:t>
      </w:r>
    </w:p>
    <w:p w14:paraId="355C496C" w14:textId="17AC3014" w:rsidR="009A1A20" w:rsidRDefault="00CD4661" w:rsidP="009A1A20">
      <w:pPr>
        <w:pBdr>
          <w:top w:val="nil"/>
          <w:left w:val="nil"/>
          <w:bottom w:val="nil"/>
          <w:right w:val="nil"/>
          <w:between w:val="nil"/>
        </w:pBdr>
        <w:spacing w:before="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SITE</w:t>
      </w:r>
    </w:p>
    <w:p w14:paraId="4ACADA9C" w14:textId="77777777" w:rsidR="00CD4661" w:rsidRDefault="00CD4661" w:rsidP="009A1A20">
      <w:pPr>
        <w:pBdr>
          <w:top w:val="nil"/>
          <w:left w:val="nil"/>
          <w:bottom w:val="nil"/>
          <w:right w:val="nil"/>
          <w:between w:val="nil"/>
        </w:pBdr>
        <w:spacing w:before="0" w:line="240" w:lineRule="auto"/>
        <w:jc w:val="both"/>
        <w:rPr>
          <w:rFonts w:ascii="Times New Roman" w:eastAsia="Times New Roman" w:hAnsi="Times New Roman" w:cs="Times New Roman"/>
          <w:sz w:val="24"/>
          <w:szCs w:val="24"/>
        </w:rPr>
      </w:pPr>
    </w:p>
    <w:p w14:paraId="4F94D45C" w14:textId="01CA3363" w:rsidR="009A1A20" w:rsidRDefault="00327FFB" w:rsidP="009A1A20">
      <w:pPr>
        <w:pBdr>
          <w:top w:val="nil"/>
          <w:left w:val="nil"/>
          <w:bottom w:val="nil"/>
          <w:right w:val="nil"/>
          <w:between w:val="nil"/>
        </w:pBdr>
        <w:spacing w:before="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Afluentes Ensemble. </w:t>
      </w:r>
      <w:r w:rsidR="009A1A20" w:rsidRPr="00A22E1B">
        <w:rPr>
          <w:rFonts w:ascii="Times New Roman" w:eastAsia="Times New Roman" w:hAnsi="Times New Roman" w:cs="Times New Roman"/>
          <w:b/>
          <w:bCs/>
          <w:sz w:val="24"/>
          <w:szCs w:val="24"/>
        </w:rPr>
        <w:t>A Nova Lenda do Abaeté</w:t>
      </w:r>
      <w:r w:rsidR="00A22E1B">
        <w:rPr>
          <w:rFonts w:ascii="Times New Roman" w:eastAsia="Times New Roman" w:hAnsi="Times New Roman" w:cs="Times New Roman"/>
          <w:sz w:val="24"/>
          <w:szCs w:val="24"/>
        </w:rPr>
        <w:t>, in</w:t>
      </w:r>
      <w:r w:rsidR="009A1A20">
        <w:rPr>
          <w:rFonts w:ascii="Times New Roman" w:eastAsia="Times New Roman" w:hAnsi="Times New Roman" w:cs="Times New Roman"/>
          <w:sz w:val="24"/>
          <w:szCs w:val="24"/>
        </w:rPr>
        <w:t xml:space="preserve">: </w:t>
      </w:r>
      <w:hyperlink r:id="rId10" w:history="1">
        <w:r w:rsidR="009A1A20" w:rsidRPr="007B2A40">
          <w:rPr>
            <w:rStyle w:val="Hyperlink"/>
            <w:rFonts w:ascii="Times New Roman" w:eastAsia="Times New Roman" w:hAnsi="Times New Roman" w:cs="Times New Roman"/>
            <w:sz w:val="24"/>
            <w:szCs w:val="24"/>
          </w:rPr>
          <w:t>https://georgechristian.bandcamp.com/album/a-nova-lenda-do-abaet-ep-gcsa-60</w:t>
        </w:r>
      </w:hyperlink>
      <w:r w:rsidR="009A1A20" w:rsidRPr="009A1A20">
        <w:rPr>
          <w:rStyle w:val="Hyperlink"/>
          <w:rFonts w:ascii="Times New Roman" w:eastAsia="Times New Roman" w:hAnsi="Times New Roman" w:cs="Times New Roman"/>
          <w:sz w:val="24"/>
          <w:szCs w:val="24"/>
          <w:u w:val="none"/>
        </w:rPr>
        <w:t>.</w:t>
      </w:r>
      <w:r w:rsidR="009A1A20">
        <w:rPr>
          <w:rFonts w:ascii="Times New Roman" w:eastAsia="Times New Roman" w:hAnsi="Times New Roman" w:cs="Times New Roman"/>
          <w:sz w:val="24"/>
          <w:szCs w:val="24"/>
        </w:rPr>
        <w:t xml:space="preserve"> </w:t>
      </w:r>
      <w:r w:rsidR="00A22E1B">
        <w:rPr>
          <w:rFonts w:ascii="Times New Roman" w:eastAsia="Times New Roman" w:hAnsi="Times New Roman" w:cs="Times New Roman"/>
          <w:sz w:val="24"/>
          <w:szCs w:val="24"/>
        </w:rPr>
        <w:t>Acesso em 9 de julho de 2024.</w:t>
      </w:r>
    </w:p>
    <w:p w14:paraId="354EA36B" w14:textId="77777777" w:rsidR="00110490" w:rsidRPr="00843723" w:rsidRDefault="00110490">
      <w:pPr>
        <w:rPr>
          <w:rFonts w:ascii="Times New Roman" w:hAnsi="Times New Roman" w:cs="Times New Roman"/>
          <w:b/>
          <w:bCs/>
          <w:sz w:val="24"/>
          <w:szCs w:val="24"/>
        </w:rPr>
      </w:pPr>
    </w:p>
    <w:sectPr w:rsidR="00110490" w:rsidRPr="008437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skerville">
    <w:altName w:val="Baskerville Old Face"/>
    <w:charset w:val="00"/>
    <w:family w:val="roman"/>
    <w:pitch w:val="variable"/>
    <w:sig w:usb0="80000067" w:usb1="02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Corpo CS)">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C66E0C"/>
    <w:multiLevelType w:val="multilevel"/>
    <w:tmpl w:val="AE547CC2"/>
    <w:lvl w:ilvl="0">
      <w:start w:val="1"/>
      <w:numFmt w:val="lowerLetter"/>
      <w:pStyle w:val="alnea"/>
      <w:lvlText w:val="%1)"/>
      <w:lvlJc w:val="left"/>
      <w:pPr>
        <w:ind w:left="765" w:hanging="340"/>
      </w:pPr>
      <w:rPr>
        <w:rFonts w:ascii="Baskerville" w:hAnsi="Baskerville" w:hint="default"/>
        <w:b w:val="0"/>
        <w:i w:val="0"/>
        <w:sz w:val="24"/>
      </w:rPr>
    </w:lvl>
    <w:lvl w:ilvl="1">
      <w:start w:val="1"/>
      <w:numFmt w:val="none"/>
      <w:pStyle w:val="Subalnea"/>
      <w:lvlText w:val="—"/>
      <w:lvlJc w:val="left"/>
      <w:pPr>
        <w:ind w:left="1219" w:hanging="454"/>
      </w:pPr>
      <w:rPr>
        <w:rFonts w:ascii="Baskerville" w:hAnsi="Baskerville" w:hint="default"/>
        <w:b w:val="0"/>
        <w:i w:val="0"/>
        <w:color w:val="000000" w:themeColor="text1"/>
        <w:sz w:val="24"/>
      </w:rPr>
    </w:lvl>
    <w:lvl w:ilvl="2">
      <w:start w:val="1"/>
      <w:numFmt w:val="lowerRoman"/>
      <w:pStyle w:val="subalena2"/>
      <w:lvlText w:val="%3"/>
      <w:lvlJc w:val="left"/>
      <w:pPr>
        <w:ind w:left="1503" w:hanging="284"/>
      </w:pPr>
      <w:rPr>
        <w:rFonts w:ascii="Baskerville" w:hAnsi="Baskerville" w:hint="default"/>
        <w:b w:val="0"/>
        <w:i w:val="0"/>
        <w:sz w:val="24"/>
      </w:rPr>
    </w:lvl>
    <w:lvl w:ilvl="3">
      <w:start w:val="1"/>
      <w:numFmt w:val="decimal"/>
      <w:lvlText w:val="%1.%2.%3.%4"/>
      <w:lvlJc w:val="left"/>
      <w:pPr>
        <w:ind w:left="2168" w:hanging="864"/>
      </w:pPr>
      <w:rPr>
        <w:rFonts w:hint="default"/>
      </w:rPr>
    </w:lvl>
    <w:lvl w:ilvl="4">
      <w:start w:val="1"/>
      <w:numFmt w:val="decimal"/>
      <w:lvlText w:val="%1.%2.%3.%4.%5"/>
      <w:lvlJc w:val="left"/>
      <w:pPr>
        <w:ind w:left="2312" w:hanging="1008"/>
      </w:pPr>
      <w:rPr>
        <w:rFonts w:hint="default"/>
      </w:rPr>
    </w:lvl>
    <w:lvl w:ilvl="5">
      <w:start w:val="1"/>
      <w:numFmt w:val="decimal"/>
      <w:lvlText w:val="%1.%2.%3.%4.%5.%6"/>
      <w:lvlJc w:val="left"/>
      <w:pPr>
        <w:ind w:left="2456" w:hanging="1152"/>
      </w:pPr>
      <w:rPr>
        <w:rFonts w:hint="default"/>
      </w:rPr>
    </w:lvl>
    <w:lvl w:ilvl="6">
      <w:start w:val="1"/>
      <w:numFmt w:val="decimal"/>
      <w:lvlText w:val="%1.%2.%3.%4.%5.%6.%7"/>
      <w:lvlJc w:val="left"/>
      <w:pPr>
        <w:ind w:left="2600" w:hanging="1296"/>
      </w:pPr>
      <w:rPr>
        <w:rFonts w:hint="default"/>
      </w:rPr>
    </w:lvl>
    <w:lvl w:ilvl="7">
      <w:start w:val="1"/>
      <w:numFmt w:val="decimal"/>
      <w:lvlText w:val="%1.%2.%3.%4.%5.%6.%7.%8"/>
      <w:lvlJc w:val="left"/>
      <w:pPr>
        <w:ind w:left="2744" w:hanging="1440"/>
      </w:pPr>
      <w:rPr>
        <w:rFonts w:hint="default"/>
      </w:rPr>
    </w:lvl>
    <w:lvl w:ilvl="8">
      <w:start w:val="1"/>
      <w:numFmt w:val="decimal"/>
      <w:lvlText w:val="%1.%2.%3.%4.%5.%6.%7.%8.%9"/>
      <w:lvlJc w:val="left"/>
      <w:pPr>
        <w:ind w:left="2888" w:hanging="1584"/>
      </w:pPr>
      <w:rPr>
        <w:rFonts w:hint="default"/>
      </w:rPr>
    </w:lvl>
  </w:abstractNum>
  <w:num w:numId="1" w16cid:durableId="47063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723"/>
    <w:rsid w:val="00110490"/>
    <w:rsid w:val="00327FFB"/>
    <w:rsid w:val="006228FA"/>
    <w:rsid w:val="00843723"/>
    <w:rsid w:val="009A1A20"/>
    <w:rsid w:val="00A22E1B"/>
    <w:rsid w:val="00A7631C"/>
    <w:rsid w:val="00B31C36"/>
    <w:rsid w:val="00CD4661"/>
    <w:rsid w:val="00DD45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B303"/>
  <w15:chartTrackingRefBased/>
  <w15:docId w15:val="{41A8CE18-7199-403F-BD8B-D75FB7A59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723"/>
    <w:pPr>
      <w:autoSpaceDE w:val="0"/>
      <w:autoSpaceDN w:val="0"/>
      <w:spacing w:before="140" w:after="0" w:line="219" w:lineRule="exact"/>
    </w:pPr>
    <w:rPr>
      <w:rFonts w:ascii="Times" w:eastAsia="Times" w:hAnsi="Times" w:cs="Times"/>
      <w:color w:val="000000"/>
      <w:kern w:val="0"/>
      <w:sz w:val="18"/>
      <w:szCs w:val="18"/>
      <w:lang w:eastAsia="zh-CN"/>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ubalnea">
    <w:name w:val="Subalínea"/>
    <w:basedOn w:val="Normal"/>
    <w:next w:val="alnea"/>
    <w:qFormat/>
    <w:rsid w:val="00843723"/>
    <w:pPr>
      <w:numPr>
        <w:ilvl w:val="1"/>
        <w:numId w:val="1"/>
      </w:numPr>
      <w:autoSpaceDE/>
      <w:autoSpaceDN/>
      <w:spacing w:before="0" w:line="360" w:lineRule="auto"/>
      <w:jc w:val="both"/>
    </w:pPr>
    <w:rPr>
      <w:rFonts w:ascii="Baskerville" w:eastAsiaTheme="minorHAnsi" w:hAnsi="Baskerville" w:cs="Times New Roman (Corpo CS)"/>
      <w:color w:val="auto"/>
      <w:sz w:val="24"/>
      <w:szCs w:val="28"/>
      <w:lang w:eastAsia="en-US"/>
    </w:rPr>
  </w:style>
  <w:style w:type="paragraph" w:styleId="PargrafodaLista">
    <w:name w:val="List Paragraph"/>
    <w:basedOn w:val="Normal"/>
    <w:uiPriority w:val="34"/>
    <w:qFormat/>
    <w:rsid w:val="00843723"/>
    <w:pPr>
      <w:autoSpaceDE/>
      <w:autoSpaceDN/>
      <w:spacing w:before="0" w:line="240" w:lineRule="auto"/>
      <w:ind w:left="720"/>
      <w:contextualSpacing/>
    </w:pPr>
    <w:rPr>
      <w:rFonts w:ascii="Baskerville" w:eastAsiaTheme="minorHAnsi" w:hAnsi="Baskerville" w:cs="Times New Roman (Corpo CS)"/>
      <w:color w:val="auto"/>
      <w:sz w:val="24"/>
      <w:szCs w:val="24"/>
      <w:lang w:eastAsia="en-US"/>
    </w:rPr>
  </w:style>
  <w:style w:type="character" w:styleId="Hyperlink">
    <w:name w:val="Hyperlink"/>
    <w:basedOn w:val="Fontepargpadro"/>
    <w:uiPriority w:val="99"/>
    <w:unhideWhenUsed/>
    <w:rsid w:val="00843723"/>
    <w:rPr>
      <w:color w:val="0563C1" w:themeColor="hyperlink"/>
      <w:u w:val="single"/>
    </w:rPr>
  </w:style>
  <w:style w:type="paragraph" w:customStyle="1" w:styleId="alnea">
    <w:name w:val="alínea"/>
    <w:basedOn w:val="Normal"/>
    <w:qFormat/>
    <w:rsid w:val="00843723"/>
    <w:pPr>
      <w:widowControl w:val="0"/>
      <w:numPr>
        <w:numId w:val="1"/>
      </w:numPr>
      <w:tabs>
        <w:tab w:val="left" w:pos="340"/>
      </w:tabs>
      <w:autoSpaceDE/>
      <w:autoSpaceDN/>
      <w:spacing w:before="0" w:line="360" w:lineRule="auto"/>
      <w:jc w:val="both"/>
    </w:pPr>
    <w:rPr>
      <w:rFonts w:ascii="Baskerville" w:eastAsiaTheme="minorHAnsi" w:hAnsi="Baskerville" w:cs="Times New Roman (Corpo CS)"/>
      <w:color w:val="000000" w:themeColor="text1"/>
      <w:sz w:val="24"/>
      <w:szCs w:val="24"/>
      <w:lang w:eastAsia="en-US"/>
    </w:rPr>
  </w:style>
  <w:style w:type="paragraph" w:customStyle="1" w:styleId="subalena2">
    <w:name w:val="subalíena 2"/>
    <w:basedOn w:val="Subalnea"/>
    <w:qFormat/>
    <w:rsid w:val="00843723"/>
    <w:pPr>
      <w:numPr>
        <w:ilvl w:val="2"/>
      </w:numP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zsuite.sampaio.me/pt-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georgechristian.bandcamp.com/album/a-nova-lenda-do-abaet-ep-gcsa-60"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747</Words>
  <Characters>4040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Cristian Vilela Pereira</dc:creator>
  <cp:keywords/>
  <dc:description/>
  <cp:lastModifiedBy>George Cristian Vilela Pereira</cp:lastModifiedBy>
  <cp:revision>6</cp:revision>
  <dcterms:created xsi:type="dcterms:W3CDTF">2024-07-09T23:32:00Z</dcterms:created>
  <dcterms:modified xsi:type="dcterms:W3CDTF">2024-07-10T00:05:00Z</dcterms:modified>
</cp:coreProperties>
</file>