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477C1" w14:textId="45BD5737" w:rsidR="00AE6075" w:rsidRDefault="00364DB0" w:rsidP="00364DB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8272454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Choros Nº 2</w:t>
      </w:r>
      <w:r w:rsidR="00293367" w:rsidRPr="00AE6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à luz das propostas analíticas de </w:t>
      </w:r>
      <w:r w:rsidR="00293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293367" w:rsidRPr="00AE6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icholas </w:t>
      </w:r>
      <w:r w:rsidR="00293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293367" w:rsidRPr="00AE6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ook</w:t>
      </w:r>
    </w:p>
    <w:bookmarkEnd w:id="0"/>
    <w:p w14:paraId="0BC7A436" w14:textId="6FD237D5" w:rsidR="00364DB0" w:rsidRPr="00364DB0" w:rsidRDefault="00364DB0" w:rsidP="00364DB0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DB0">
        <w:rPr>
          <w:rFonts w:ascii="Times New Roman" w:hAnsi="Times New Roman" w:cs="Times New Roman"/>
          <w:color w:val="000000" w:themeColor="text1"/>
          <w:sz w:val="24"/>
          <w:szCs w:val="24"/>
        </w:rPr>
        <w:t>Temática geral</w:t>
      </w:r>
    </w:p>
    <w:p w14:paraId="1BE081A9" w14:textId="42F55819" w:rsidR="001E20C1" w:rsidRDefault="001E20C1" w:rsidP="00CB6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0C1">
        <w:rPr>
          <w:rFonts w:ascii="Times New Roman" w:hAnsi="Times New Roman" w:cs="Times New Roman"/>
          <w:sz w:val="24"/>
          <w:szCs w:val="24"/>
        </w:rPr>
        <w:t>Tendo por objeto de estud</w:t>
      </w:r>
      <w:r w:rsidR="003A1D9A">
        <w:rPr>
          <w:rFonts w:ascii="Times New Roman" w:hAnsi="Times New Roman" w:cs="Times New Roman"/>
          <w:sz w:val="24"/>
          <w:szCs w:val="24"/>
        </w:rPr>
        <w:t xml:space="preserve">o </w:t>
      </w:r>
      <w:r w:rsidR="00364DB0">
        <w:rPr>
          <w:rFonts w:ascii="Times New Roman" w:hAnsi="Times New Roman" w:cs="Times New Roman"/>
          <w:sz w:val="24"/>
          <w:szCs w:val="24"/>
        </w:rPr>
        <w:t>a peça de Heitor Villa-Lobos, Choros Nº 2, para flauta e clarin</w:t>
      </w:r>
      <w:r w:rsidR="007B3037">
        <w:rPr>
          <w:rFonts w:ascii="Times New Roman" w:hAnsi="Times New Roman" w:cs="Times New Roman"/>
          <w:sz w:val="24"/>
          <w:szCs w:val="24"/>
        </w:rPr>
        <w:t>et</w:t>
      </w:r>
      <w:r w:rsidR="00364DB0">
        <w:rPr>
          <w:rFonts w:ascii="Times New Roman" w:hAnsi="Times New Roman" w:cs="Times New Roman"/>
          <w:sz w:val="24"/>
          <w:szCs w:val="24"/>
        </w:rPr>
        <w:t>a,</w:t>
      </w:r>
      <w:r w:rsidR="007E165C">
        <w:rPr>
          <w:rFonts w:ascii="Times New Roman" w:hAnsi="Times New Roman" w:cs="Times New Roman"/>
          <w:sz w:val="24"/>
          <w:szCs w:val="24"/>
        </w:rPr>
        <w:t xml:space="preserve"> propomos uma investigação analítica</w:t>
      </w:r>
      <w:r w:rsidRPr="001E20C1">
        <w:rPr>
          <w:rFonts w:ascii="Times New Roman" w:hAnsi="Times New Roman" w:cs="Times New Roman"/>
          <w:sz w:val="24"/>
          <w:szCs w:val="24"/>
        </w:rPr>
        <w:t xml:space="preserve"> seguindo os parâmetros indicados por Nicholas Cook em seu livro </w:t>
      </w:r>
      <w:r w:rsidRPr="001E20C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E20C1">
        <w:rPr>
          <w:rFonts w:ascii="Times New Roman" w:hAnsi="Times New Roman" w:cs="Times New Roman"/>
          <w:sz w:val="24"/>
          <w:szCs w:val="24"/>
        </w:rPr>
        <w:t xml:space="preserve"> </w:t>
      </w:r>
      <w:r w:rsidRPr="001E20C1">
        <w:rPr>
          <w:rFonts w:ascii="Times New Roman" w:hAnsi="Times New Roman" w:cs="Times New Roman"/>
          <w:i/>
          <w:iCs/>
          <w:sz w:val="24"/>
          <w:szCs w:val="24"/>
        </w:rPr>
        <w:t>Guide to Musical Analysi</w:t>
      </w:r>
      <w:r w:rsidR="00A53BB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CB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1191AFF" w14:textId="37FB0BA8" w:rsidR="007B3037" w:rsidRDefault="007B3037" w:rsidP="00CB6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obra analisada,</w:t>
      </w:r>
      <w:r w:rsidRPr="00364DB0">
        <w:rPr>
          <w:rFonts w:ascii="Times New Roman" w:hAnsi="Times New Roman"/>
          <w:sz w:val="24"/>
          <w:szCs w:val="24"/>
        </w:rPr>
        <w:t xml:space="preserve"> Choros Nº 2 (1924),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4DB0">
        <w:rPr>
          <w:rFonts w:ascii="Times New Roman" w:hAnsi="Times New Roman"/>
          <w:sz w:val="24"/>
          <w:szCs w:val="24"/>
        </w:rPr>
        <w:t xml:space="preserve">faz parte de uma série monumental </w:t>
      </w:r>
      <w:r>
        <w:rPr>
          <w:rFonts w:ascii="Times New Roman" w:hAnsi="Times New Roman"/>
          <w:sz w:val="24"/>
          <w:szCs w:val="24"/>
        </w:rPr>
        <w:t>de Villa-Lobos composta por</w:t>
      </w:r>
      <w:r w:rsidRPr="00364DB0">
        <w:rPr>
          <w:rFonts w:ascii="Times New Roman" w:hAnsi="Times New Roman"/>
          <w:sz w:val="24"/>
          <w:szCs w:val="24"/>
        </w:rPr>
        <w:t xml:space="preserve"> 16 choros. Esse ciclo de composições, embora evoque os elementos da música urbana realizada pelos chorões, representava para </w:t>
      </w:r>
      <w:r>
        <w:rPr>
          <w:rFonts w:ascii="Times New Roman" w:hAnsi="Times New Roman"/>
          <w:sz w:val="24"/>
          <w:szCs w:val="24"/>
        </w:rPr>
        <w:t>o compositor</w:t>
      </w:r>
      <w:r w:rsidRPr="00364DB0">
        <w:rPr>
          <w:rFonts w:ascii="Times New Roman" w:hAnsi="Times New Roman"/>
          <w:sz w:val="24"/>
          <w:szCs w:val="24"/>
        </w:rPr>
        <w:t xml:space="preserve"> também sua visão ampla da música folclórica, popular e indígena. Para </w:t>
      </w:r>
      <w:r w:rsidR="002F5884">
        <w:rPr>
          <w:rFonts w:ascii="Times New Roman" w:hAnsi="Times New Roman"/>
          <w:sz w:val="24"/>
          <w:szCs w:val="24"/>
        </w:rPr>
        <w:t>Villa-Lobos</w:t>
      </w:r>
      <w:r w:rsidRPr="00364DB0">
        <w:rPr>
          <w:rFonts w:ascii="Times New Roman" w:hAnsi="Times New Roman"/>
          <w:sz w:val="24"/>
          <w:szCs w:val="24"/>
        </w:rPr>
        <w:t xml:space="preserve">, em nota publicada na edição do </w:t>
      </w:r>
      <w:r w:rsidRPr="00364DB0">
        <w:rPr>
          <w:rFonts w:ascii="Times New Roman" w:hAnsi="Times New Roman"/>
          <w:i/>
          <w:iCs/>
          <w:sz w:val="24"/>
          <w:szCs w:val="24"/>
        </w:rPr>
        <w:t>Choros Nº3</w:t>
      </w:r>
      <w:r w:rsidRPr="00364DB0">
        <w:rPr>
          <w:rFonts w:ascii="Times New Roman" w:hAnsi="Times New Roman"/>
          <w:sz w:val="24"/>
          <w:szCs w:val="24"/>
        </w:rPr>
        <w:t xml:space="preserve">(Max </w:t>
      </w:r>
      <w:proofErr w:type="spellStart"/>
      <w:r w:rsidRPr="00364DB0">
        <w:rPr>
          <w:rFonts w:ascii="Times New Roman" w:hAnsi="Times New Roman"/>
          <w:sz w:val="24"/>
          <w:szCs w:val="24"/>
        </w:rPr>
        <w:t>Eschig</w:t>
      </w:r>
      <w:proofErr w:type="spellEnd"/>
      <w:r w:rsidRPr="00364DB0">
        <w:rPr>
          <w:rFonts w:ascii="Times New Roman" w:hAnsi="Times New Roman"/>
          <w:sz w:val="24"/>
          <w:szCs w:val="24"/>
        </w:rPr>
        <w:t xml:space="preserve"> – Paris, 1928), os Choros sintetizavam "as diferentes modalidades da música brasileira indígena e popular”, no que ele chama de uma nova forma de composição musical.  </w:t>
      </w:r>
      <w:r>
        <w:rPr>
          <w:rFonts w:ascii="Times New Roman" w:hAnsi="Times New Roman" w:cs="Times New Roman"/>
          <w:sz w:val="24"/>
          <w:szCs w:val="24"/>
        </w:rPr>
        <w:t>Embora curta, é</w:t>
      </w:r>
      <w:r w:rsidRPr="00364DB0">
        <w:rPr>
          <w:rFonts w:ascii="Times New Roman" w:hAnsi="Times New Roman" w:cs="Times New Roman"/>
          <w:sz w:val="24"/>
          <w:szCs w:val="24"/>
        </w:rPr>
        <w:t xml:space="preserve"> uma</w:t>
      </w:r>
      <w:r>
        <w:rPr>
          <w:rFonts w:ascii="Times New Roman" w:hAnsi="Times New Roman" w:cs="Times New Roman"/>
          <w:sz w:val="24"/>
          <w:szCs w:val="24"/>
        </w:rPr>
        <w:t xml:space="preserve"> peça</w:t>
      </w:r>
      <w:r w:rsidRPr="00364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arrojada, que traz propostas composicionais muito interessantes e se distancia da escrita mais simples e tradicional expressa no Choro antecedente. Os aspectos modernos e atuais tornam a peça muito representativa na contemporaneidade</w:t>
      </w:r>
      <w:r w:rsidR="002F5884">
        <w:rPr>
          <w:rFonts w:ascii="Times New Roman" w:hAnsi="Times New Roman" w:cs="Times New Roman"/>
          <w:sz w:val="24"/>
          <w:szCs w:val="24"/>
        </w:rPr>
        <w:t>, sendo ainda hoje uma referência para a formação de música de câmara para flauta e clarineta</w:t>
      </w:r>
      <w:r w:rsidRPr="00364DB0">
        <w:rPr>
          <w:rFonts w:ascii="Times New Roman" w:hAnsi="Times New Roman" w:cs="Times New Roman"/>
          <w:sz w:val="24"/>
          <w:szCs w:val="24"/>
        </w:rPr>
        <w:t xml:space="preserve">. </w:t>
      </w:r>
      <w:r w:rsidR="00C436C3">
        <w:rPr>
          <w:rFonts w:ascii="Times New Roman" w:hAnsi="Times New Roman" w:cs="Times New Roman"/>
          <w:sz w:val="24"/>
          <w:szCs w:val="24"/>
        </w:rPr>
        <w:t>A complexidade da peça é observada</w:t>
      </w:r>
      <w:r w:rsidR="00C436C3">
        <w:rPr>
          <w:rFonts w:ascii="Times New Roman" w:hAnsi="Times New Roman" w:cs="Times New Roman"/>
          <w:sz w:val="24"/>
          <w:szCs w:val="24"/>
        </w:rPr>
        <w:t xml:space="preserve"> também</w:t>
      </w:r>
      <w:r w:rsidR="00C436C3">
        <w:rPr>
          <w:rFonts w:ascii="Times New Roman" w:hAnsi="Times New Roman" w:cs="Times New Roman"/>
          <w:sz w:val="24"/>
          <w:szCs w:val="24"/>
        </w:rPr>
        <w:t xml:space="preserve"> pela utilização de diversos recursos composicionais, que combinados com maestria, desvelam uma obra cheia de nuances e particularidades únicas.</w:t>
      </w:r>
    </w:p>
    <w:p w14:paraId="37386FF7" w14:textId="4F79E25E" w:rsidR="007B3037" w:rsidRDefault="00C36E34" w:rsidP="00CB6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metodologia preconizada </w:t>
      </w:r>
      <w:r w:rsidR="00C436C3">
        <w:rPr>
          <w:rFonts w:ascii="Times New Roman" w:hAnsi="Times New Roman" w:cs="Times New Roman"/>
          <w:sz w:val="24"/>
          <w:szCs w:val="24"/>
        </w:rPr>
        <w:t xml:space="preserve">por Nicholas Cook </w:t>
      </w:r>
      <w:r>
        <w:rPr>
          <w:rFonts w:ascii="Times New Roman" w:hAnsi="Times New Roman" w:cs="Times New Roman"/>
          <w:sz w:val="24"/>
          <w:szCs w:val="24"/>
        </w:rPr>
        <w:t>tem como ponto de partida uma familiarização inicial e necessária com a música a ser examinada, processada pela escuta e prática da mesma. Ao invés da simples aplicação dos métodos analíticos existentes, Cook alerta sobre a necessidade de uma apreensão instintiva de determinadas características da obra, o que permitirá que a análise alcance respaldo e significação em sua conexão com as práticas da performance, composição, investigação musicológica etc. Segundo o autor, há que se evitar a todo custo a rigidez quanto à utilização dos métodos analíticos existentes. Ao contrário, a melhor estratégia seria combiná-los de maneira que pudessem ser utilizados como ferramentas capazes de responder às perguntas que norteiam a investigação, e assim, ampliar o entendimento da peça selecionada. Em resumo, ao invés da obtenção de uma análise musical quase científica da partitura, que muitas vezes, pouca relação exibe com a escuta musical propriamente, Cook propõe que os procedimentos metodológicos aplicados iluminem a obra, fornecendo o fundamento de uma análise voltada obrigatoriamente para a experiência musical.</w:t>
      </w:r>
      <w:r>
        <w:rPr>
          <w:rFonts w:ascii="Times New Roman" w:hAnsi="Times New Roman" w:cs="Times New Roman"/>
          <w:sz w:val="24"/>
          <w:szCs w:val="24"/>
        </w:rPr>
        <w:t xml:space="preserve"> Seguindo suas </w:t>
      </w:r>
      <w:r>
        <w:rPr>
          <w:rFonts w:ascii="Times New Roman" w:hAnsi="Times New Roman" w:cs="Times New Roman"/>
          <w:sz w:val="24"/>
          <w:szCs w:val="24"/>
        </w:rPr>
        <w:lastRenderedPageBreak/>
        <w:t>premissas, o presente trabalho visa considerar a obra de Villa Lobos</w:t>
      </w:r>
      <w:r w:rsidR="00C436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antes de tudo, como</w:t>
      </w:r>
      <w:r w:rsidR="001C17D5">
        <w:rPr>
          <w:rFonts w:ascii="Times New Roman" w:hAnsi="Times New Roman" w:cs="Times New Roman"/>
          <w:sz w:val="24"/>
          <w:szCs w:val="24"/>
        </w:rPr>
        <w:t xml:space="preserve"> uma</w:t>
      </w:r>
      <w:r>
        <w:rPr>
          <w:rFonts w:ascii="Times New Roman" w:hAnsi="Times New Roman" w:cs="Times New Roman"/>
          <w:sz w:val="24"/>
          <w:szCs w:val="24"/>
        </w:rPr>
        <w:t xml:space="preserve"> experiência musical</w:t>
      </w:r>
      <w:r w:rsidR="001C17D5">
        <w:rPr>
          <w:rFonts w:ascii="Times New Roman" w:hAnsi="Times New Roman" w:cs="Times New Roman"/>
          <w:sz w:val="24"/>
          <w:szCs w:val="24"/>
        </w:rPr>
        <w:t xml:space="preserve"> que permita recriar a peça sob uma perspectiva pessoal</w:t>
      </w:r>
      <w:r>
        <w:rPr>
          <w:rFonts w:ascii="Times New Roman" w:hAnsi="Times New Roman" w:cs="Times New Roman"/>
          <w:sz w:val="24"/>
          <w:szCs w:val="24"/>
        </w:rPr>
        <w:t xml:space="preserve">. A partir de questões chave como: </w:t>
      </w:r>
      <w:r w:rsidR="00C436C3">
        <w:rPr>
          <w:rFonts w:ascii="Times New Roman" w:hAnsi="Times New Roman" w:cs="Times New Roman"/>
          <w:sz w:val="24"/>
          <w:szCs w:val="24"/>
        </w:rPr>
        <w:t xml:space="preserve">Qual a característica mais marcante da peça? Essa característica cria uma sensação de movimento em direção a algum objetivo?  </w:t>
      </w:r>
      <w:r>
        <w:rPr>
          <w:rFonts w:ascii="Times New Roman" w:hAnsi="Times New Roman" w:cs="Times New Roman"/>
          <w:sz w:val="24"/>
          <w:szCs w:val="24"/>
        </w:rPr>
        <w:t xml:space="preserve">Quais os preconceitos ou expectativas sobre a </w:t>
      </w:r>
      <w:proofErr w:type="gramStart"/>
      <w:r>
        <w:rPr>
          <w:rFonts w:ascii="Times New Roman" w:hAnsi="Times New Roman" w:cs="Times New Roman"/>
          <w:sz w:val="24"/>
          <w:szCs w:val="24"/>
        </w:rPr>
        <w:t>música?</w:t>
      </w:r>
      <w:r w:rsidR="00C436C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436C3">
        <w:rPr>
          <w:rFonts w:ascii="Times New Roman" w:hAnsi="Times New Roman" w:cs="Times New Roman"/>
          <w:sz w:val="24"/>
          <w:szCs w:val="24"/>
        </w:rPr>
        <w:t xml:space="preserve"> Nicholas Cook nos conduz a uma abordagem simples e indutiva que possibilita clarear a imagem musical.</w:t>
      </w:r>
    </w:p>
    <w:p w14:paraId="6A8EE0A4" w14:textId="77777777" w:rsidR="00761C71" w:rsidRDefault="00C436C3" w:rsidP="00CB6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tal, dividimos a peça analisada em duas partes: introdução e tema</w:t>
      </w:r>
      <w:r w:rsidR="00DF30E2">
        <w:rPr>
          <w:rFonts w:ascii="Times New Roman" w:hAnsi="Times New Roman" w:cs="Times New Roman"/>
          <w:sz w:val="24"/>
          <w:szCs w:val="24"/>
        </w:rPr>
        <w:t xml:space="preserve">. </w:t>
      </w:r>
      <w:r w:rsidR="00033434">
        <w:rPr>
          <w:rFonts w:ascii="Times New Roman" w:hAnsi="Times New Roman" w:cs="Times New Roman"/>
          <w:sz w:val="24"/>
          <w:szCs w:val="24"/>
        </w:rPr>
        <w:t xml:space="preserve">A fim de </w:t>
      </w:r>
      <w:r w:rsidR="00DF30E2">
        <w:rPr>
          <w:rFonts w:ascii="Times New Roman" w:hAnsi="Times New Roman" w:cs="Times New Roman"/>
          <w:sz w:val="24"/>
          <w:szCs w:val="24"/>
        </w:rPr>
        <w:t>favorecer a compreensão do estudo realizado, destacamos os seguintes trechos: o 5 primeiros compassos da introdução, onde clarineta e flauta seguem em movimentos cromáticos/diatônicos, ressaltando as relações intervalares de terças, quartas e sétimas criadas nessa movimentação; e os 8 compassos n</w:t>
      </w:r>
      <w:r w:rsidR="00033434">
        <w:rPr>
          <w:rFonts w:ascii="Times New Roman" w:hAnsi="Times New Roman" w:cs="Times New Roman"/>
          <w:sz w:val="24"/>
          <w:szCs w:val="24"/>
        </w:rPr>
        <w:t>o</w:t>
      </w:r>
      <w:r w:rsidR="00DF30E2">
        <w:rPr>
          <w:rFonts w:ascii="Times New Roman" w:hAnsi="Times New Roman" w:cs="Times New Roman"/>
          <w:sz w:val="24"/>
          <w:szCs w:val="24"/>
        </w:rPr>
        <w:t xml:space="preserve"> qual </w:t>
      </w:r>
      <w:r w:rsidR="00033434">
        <w:rPr>
          <w:rFonts w:ascii="Times New Roman" w:hAnsi="Times New Roman" w:cs="Times New Roman"/>
          <w:sz w:val="24"/>
          <w:szCs w:val="24"/>
        </w:rPr>
        <w:t>a</w:t>
      </w:r>
      <w:r w:rsidR="00DF30E2">
        <w:rPr>
          <w:rFonts w:ascii="Times New Roman" w:hAnsi="Times New Roman" w:cs="Times New Roman"/>
          <w:sz w:val="24"/>
          <w:szCs w:val="24"/>
        </w:rPr>
        <w:t xml:space="preserve"> clarinet</w:t>
      </w:r>
      <w:r w:rsidR="00033434">
        <w:rPr>
          <w:rFonts w:ascii="Times New Roman" w:hAnsi="Times New Roman" w:cs="Times New Roman"/>
          <w:sz w:val="24"/>
          <w:szCs w:val="24"/>
        </w:rPr>
        <w:t>a</w:t>
      </w:r>
      <w:r w:rsidR="00DF30E2">
        <w:rPr>
          <w:rFonts w:ascii="Times New Roman" w:hAnsi="Times New Roman" w:cs="Times New Roman"/>
          <w:sz w:val="24"/>
          <w:szCs w:val="24"/>
        </w:rPr>
        <w:t xml:space="preserve"> expõe o tema da música, até ser reforçado pela </w:t>
      </w:r>
      <w:r w:rsidR="00033434">
        <w:rPr>
          <w:rFonts w:ascii="Times New Roman" w:hAnsi="Times New Roman" w:cs="Times New Roman"/>
          <w:sz w:val="24"/>
          <w:szCs w:val="24"/>
        </w:rPr>
        <w:t>flauta, que conduz uma melodia complementar na tessitura aguda</w:t>
      </w:r>
      <w:r w:rsidR="00761C71">
        <w:rPr>
          <w:rFonts w:ascii="Times New Roman" w:hAnsi="Times New Roman" w:cs="Times New Roman"/>
          <w:sz w:val="24"/>
          <w:szCs w:val="24"/>
        </w:rPr>
        <w:t xml:space="preserve"> realizando uma modalização das notas de referência que são apresentadas no início da exposição do tema</w:t>
      </w:r>
      <w:r w:rsidR="00033434">
        <w:rPr>
          <w:rFonts w:ascii="Times New Roman" w:hAnsi="Times New Roman" w:cs="Times New Roman"/>
          <w:sz w:val="24"/>
          <w:szCs w:val="24"/>
        </w:rPr>
        <w:t>.</w:t>
      </w:r>
      <w:r w:rsidR="00DF30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D6712" w14:textId="68AE8C63" w:rsidR="00C436C3" w:rsidRDefault="00C436C3" w:rsidP="00CB6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Através das </w:t>
      </w:r>
      <w:r w:rsidR="00033434">
        <w:rPr>
          <w:rFonts w:ascii="Times New Roman" w:hAnsi="Times New Roman" w:cs="Times New Roman"/>
          <w:sz w:val="24"/>
          <w:szCs w:val="24"/>
        </w:rPr>
        <w:t xml:space="preserve">segmentações propostas e das </w:t>
      </w:r>
      <w:r>
        <w:rPr>
          <w:rFonts w:ascii="Times New Roman" w:hAnsi="Times New Roman" w:cs="Times New Roman"/>
          <w:sz w:val="24"/>
          <w:szCs w:val="24"/>
        </w:rPr>
        <w:t>ferramentas analíticas</w:t>
      </w:r>
      <w:r w:rsidR="00033434">
        <w:rPr>
          <w:rFonts w:ascii="Times New Roman" w:hAnsi="Times New Roman" w:cs="Times New Roman"/>
          <w:sz w:val="24"/>
          <w:szCs w:val="24"/>
        </w:rPr>
        <w:t xml:space="preserve"> utilizadas no trabalho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17D5">
        <w:rPr>
          <w:rFonts w:ascii="Times New Roman" w:hAnsi="Times New Roman" w:cs="Times New Roman"/>
          <w:sz w:val="24"/>
          <w:szCs w:val="24"/>
        </w:rPr>
        <w:t xml:space="preserve">é possível compreender melhor a música de Villa-Lobos e vivenciar o processo analítico sob uma ótica mais prática. </w:t>
      </w:r>
    </w:p>
    <w:p w14:paraId="0B4CA01D" w14:textId="49617FFC" w:rsidR="00F118E4" w:rsidRPr="001E20C1" w:rsidRDefault="00F118E4" w:rsidP="00CB6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0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Palavras chaves: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Villa-Lobos; Choros Nº2; Nicholas Cook; análise musical; A Guide to Musical Analysis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1" w:name="_GoBack"/>
      <w:bookmarkEnd w:id="1"/>
    </w:p>
    <w:p w14:paraId="619E5AAE" w14:textId="66305EB7" w:rsidR="001E20C1" w:rsidRDefault="00364DB0" w:rsidP="00AE6075">
      <w:pPr>
        <w:pStyle w:val="Ttulo1"/>
        <w:rPr>
          <w:rFonts w:ascii="Times New Roman" w:hAnsi="Times New Roman" w:cs="Times New Roman"/>
          <w:color w:val="000000" w:themeColor="text1"/>
          <w:sz w:val="20"/>
          <w:szCs w:val="20"/>
        </w:rPr>
      </w:pPr>
      <w:sdt>
        <w:sdtPr>
          <w:id w:val="2036931912"/>
          <w:docPartObj>
            <w:docPartGallery w:val="Bibliographies"/>
            <w:docPartUnique/>
          </w:docPartObj>
        </w:sdtPr>
        <w:sdtContent>
          <w:r w:rsidR="00A53BB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.</w:t>
          </w:r>
        </w:sdtContent>
      </w:sdt>
    </w:p>
    <w:p w14:paraId="70485E69" w14:textId="235ACFB1" w:rsidR="00293367" w:rsidRDefault="00293367" w:rsidP="00A53BB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F9B795" w14:textId="57EF0586" w:rsidR="00AE6075" w:rsidRDefault="00AE6075" w:rsidP="00AE6075"/>
    <w:p w14:paraId="00221FEC" w14:textId="77777777" w:rsidR="00AE6075" w:rsidRPr="00AE6075" w:rsidRDefault="00AE6075" w:rsidP="00CB6B5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6075" w:rsidRPr="00AE607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D80AC" w14:textId="77777777" w:rsidR="00F37618" w:rsidRDefault="00F37618" w:rsidP="00A53BB1">
      <w:pPr>
        <w:spacing w:after="0" w:line="240" w:lineRule="auto"/>
      </w:pPr>
      <w:r>
        <w:separator/>
      </w:r>
    </w:p>
  </w:endnote>
  <w:endnote w:type="continuationSeparator" w:id="0">
    <w:p w14:paraId="23F34560" w14:textId="77777777" w:rsidR="00F37618" w:rsidRDefault="00F37618" w:rsidP="00A5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Yu Mincho">
    <w:charset w:val="80"/>
    <w:family w:val="roman"/>
    <w:pitch w:val="variable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2109742"/>
      <w:docPartObj>
        <w:docPartGallery w:val="Page Numbers (Bottom of Page)"/>
        <w:docPartUnique/>
      </w:docPartObj>
    </w:sdtPr>
    <w:sdtContent>
      <w:p w14:paraId="7E9FAA00" w14:textId="7EFF72CF" w:rsidR="00364DB0" w:rsidRDefault="00364D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5A371" w14:textId="77777777" w:rsidR="00364DB0" w:rsidRDefault="00364D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A7962" w14:textId="77777777" w:rsidR="00F37618" w:rsidRDefault="00F37618" w:rsidP="00A53BB1">
      <w:pPr>
        <w:spacing w:after="0" w:line="240" w:lineRule="auto"/>
      </w:pPr>
      <w:r>
        <w:separator/>
      </w:r>
    </w:p>
  </w:footnote>
  <w:footnote w:type="continuationSeparator" w:id="0">
    <w:p w14:paraId="19B7839F" w14:textId="77777777" w:rsidR="00F37618" w:rsidRDefault="00F37618" w:rsidP="00A53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C7E0A"/>
    <w:multiLevelType w:val="multilevel"/>
    <w:tmpl w:val="46CA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3D"/>
    <w:rsid w:val="00033434"/>
    <w:rsid w:val="00100A6B"/>
    <w:rsid w:val="00113424"/>
    <w:rsid w:val="001779C2"/>
    <w:rsid w:val="001C17D5"/>
    <w:rsid w:val="001E20C1"/>
    <w:rsid w:val="002342B3"/>
    <w:rsid w:val="0026481B"/>
    <w:rsid w:val="00293367"/>
    <w:rsid w:val="002F5884"/>
    <w:rsid w:val="00310D74"/>
    <w:rsid w:val="003312BF"/>
    <w:rsid w:val="00333059"/>
    <w:rsid w:val="00364DB0"/>
    <w:rsid w:val="003A1D9A"/>
    <w:rsid w:val="003F32C4"/>
    <w:rsid w:val="003F5EC5"/>
    <w:rsid w:val="0041632C"/>
    <w:rsid w:val="00465AC4"/>
    <w:rsid w:val="00542E57"/>
    <w:rsid w:val="00585517"/>
    <w:rsid w:val="005C3741"/>
    <w:rsid w:val="006C216A"/>
    <w:rsid w:val="0075740E"/>
    <w:rsid w:val="00761C71"/>
    <w:rsid w:val="007B3037"/>
    <w:rsid w:val="007E165C"/>
    <w:rsid w:val="007F3F96"/>
    <w:rsid w:val="007F6D3D"/>
    <w:rsid w:val="00871B98"/>
    <w:rsid w:val="008747BC"/>
    <w:rsid w:val="00920D40"/>
    <w:rsid w:val="00981911"/>
    <w:rsid w:val="00A53BB1"/>
    <w:rsid w:val="00AC6DAA"/>
    <w:rsid w:val="00AD27C4"/>
    <w:rsid w:val="00AE6075"/>
    <w:rsid w:val="00B028A0"/>
    <w:rsid w:val="00B107A1"/>
    <w:rsid w:val="00BD6B9A"/>
    <w:rsid w:val="00C030CB"/>
    <w:rsid w:val="00C26FFB"/>
    <w:rsid w:val="00C36E34"/>
    <w:rsid w:val="00C42710"/>
    <w:rsid w:val="00C436C3"/>
    <w:rsid w:val="00C721CC"/>
    <w:rsid w:val="00C80A55"/>
    <w:rsid w:val="00CA110B"/>
    <w:rsid w:val="00CB5EE8"/>
    <w:rsid w:val="00CB6B53"/>
    <w:rsid w:val="00DF30E2"/>
    <w:rsid w:val="00DF4664"/>
    <w:rsid w:val="00E90F32"/>
    <w:rsid w:val="00EC2C46"/>
    <w:rsid w:val="00F118E4"/>
    <w:rsid w:val="00F37618"/>
    <w:rsid w:val="00F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F794F"/>
  <w15:docId w15:val="{9B35F8D4-65E6-4087-A67C-451B262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C1"/>
  </w:style>
  <w:style w:type="paragraph" w:styleId="Ttulo1">
    <w:name w:val="heading 1"/>
    <w:basedOn w:val="Normal"/>
    <w:next w:val="Normal"/>
    <w:link w:val="Ttulo1Char"/>
    <w:uiPriority w:val="9"/>
    <w:qFormat/>
    <w:rsid w:val="00CB6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6B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Bibliografia">
    <w:name w:val="Bibliography"/>
    <w:basedOn w:val="Normal"/>
    <w:next w:val="Normal"/>
    <w:uiPriority w:val="37"/>
    <w:unhideWhenUsed/>
    <w:rsid w:val="00CB6B53"/>
  </w:style>
  <w:style w:type="paragraph" w:styleId="Cabealho">
    <w:name w:val="header"/>
    <w:basedOn w:val="Normal"/>
    <w:link w:val="CabealhoChar"/>
    <w:uiPriority w:val="99"/>
    <w:unhideWhenUsed/>
    <w:rsid w:val="00A53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BB1"/>
  </w:style>
  <w:style w:type="paragraph" w:styleId="Rodap">
    <w:name w:val="footer"/>
    <w:basedOn w:val="Normal"/>
    <w:link w:val="RodapChar"/>
    <w:uiPriority w:val="99"/>
    <w:unhideWhenUsed/>
    <w:rsid w:val="00A53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BB1"/>
  </w:style>
  <w:style w:type="character" w:customStyle="1" w:styleId="inline-edit-item-outros-dados">
    <w:name w:val="inline-edit-item-outros-dados"/>
    <w:basedOn w:val="Fontepargpadro"/>
    <w:rsid w:val="00465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um.XSL" StyleName="ABNT NBR 6023:2002 - Numerical" Version="1">
  <b:Source>
    <b:Tag>Nic87</b:Tag>
    <b:SourceType>Book</b:SourceType>
    <b:Guid>{D0E09DCF-406B-4340-9CA3-3854917DF4BE}</b:Guid>
    <b:Author>
      <b:Author>
        <b:NameList>
          <b:Person>
            <b:Last>Cook</b:Last>
            <b:First>Nicholas</b:First>
          </b:Person>
        </b:NameList>
      </b:Author>
    </b:Author>
    <b:Title>A Guide to Musical Analysis</b:Title>
    <b:Year>1987</b:Year>
    <b:City>Nova Iorque</b:City>
    <b:Publisher>W. W. Norton &amp; Company</b:Publisher>
    <b:RefOrder>1</b:RefOrder>
  </b:Source>
</b:Sources>
</file>

<file path=customXml/itemProps1.xml><?xml version="1.0" encoding="utf-8"?>
<ds:datastoreItem xmlns:ds="http://schemas.openxmlformats.org/officeDocument/2006/customXml" ds:itemID="{5461D134-F1ED-478E-959E-9FE44E6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sammille bonfim</dc:creator>
  <cp:keywords/>
  <dc:description/>
  <cp:lastModifiedBy>sammille bonfim</cp:lastModifiedBy>
  <cp:revision>3</cp:revision>
  <dcterms:created xsi:type="dcterms:W3CDTF">2021-09-17T02:35:00Z</dcterms:created>
  <dcterms:modified xsi:type="dcterms:W3CDTF">2021-09-17T02:35:00Z</dcterms:modified>
</cp:coreProperties>
</file>